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DA" w:rsidRPr="00E56186" w:rsidRDefault="00C452DA" w:rsidP="00877884">
      <w:pPr>
        <w:spacing w:after="256" w:line="259" w:lineRule="auto"/>
        <w:ind w:left="74"/>
        <w:jc w:val="center"/>
        <w:rPr>
          <w:rFonts w:ascii="Times New Roman" w:hAnsi="Times New Roman" w:cs="Times New Roman"/>
          <w:b/>
        </w:rPr>
      </w:pPr>
    </w:p>
    <w:p w:rsidR="00C452DA" w:rsidRPr="00E56186" w:rsidRDefault="00C452DA" w:rsidP="00C452DA">
      <w:pPr>
        <w:spacing w:after="38" w:line="259" w:lineRule="auto"/>
        <w:jc w:val="center"/>
        <w:rPr>
          <w:rFonts w:ascii="Times New Roman" w:hAnsi="Times New Roman" w:cs="Times New Roman"/>
          <w:b/>
          <w:bCs/>
          <w:sz w:val="24"/>
          <w:szCs w:val="24"/>
        </w:rPr>
      </w:pPr>
      <w:r w:rsidRPr="00E56186">
        <w:rPr>
          <w:rFonts w:ascii="Times New Roman" w:eastAsia="Verdana" w:hAnsi="Times New Roman" w:cs="Times New Roman"/>
          <w:b/>
          <w:bCs/>
          <w:sz w:val="24"/>
          <w:szCs w:val="24"/>
        </w:rPr>
        <w:t xml:space="preserve">EDITAL </w:t>
      </w:r>
      <w:r w:rsidRPr="00E56186">
        <w:rPr>
          <w:rFonts w:ascii="Times New Roman" w:hAnsi="Times New Roman" w:cs="Times New Roman"/>
          <w:b/>
          <w:bCs/>
          <w:sz w:val="24"/>
          <w:szCs w:val="24"/>
        </w:rPr>
        <w:t>Nº 017/2024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 xml:space="preserve"> DISPENSA </w:t>
      </w:r>
      <w:proofErr w:type="gramStart"/>
      <w:r w:rsidRPr="00E56186">
        <w:rPr>
          <w:rFonts w:ascii="Times New Roman" w:hAnsi="Times New Roman" w:cs="Times New Roman"/>
          <w:bCs/>
        </w:rPr>
        <w:t>ELETRÔNICA Nº</w:t>
      </w:r>
      <w:proofErr w:type="gramEnd"/>
      <w:r w:rsidRPr="00E56186">
        <w:rPr>
          <w:rFonts w:ascii="Times New Roman" w:hAnsi="Times New Roman" w:cs="Times New Roman"/>
          <w:bCs/>
        </w:rPr>
        <w:t xml:space="preserve"> 003/2024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PROCESSO ADMINISTRATIVO N.º 018/2024</w:t>
      </w:r>
    </w:p>
    <w:p w:rsidR="00C452DA" w:rsidRPr="00E56186" w:rsidRDefault="00C452DA" w:rsidP="00C452DA">
      <w:pPr>
        <w:spacing w:after="255" w:line="259" w:lineRule="auto"/>
        <w:ind w:right="4"/>
        <w:jc w:val="center"/>
        <w:rPr>
          <w:rFonts w:ascii="Times New Roman" w:hAnsi="Times New Roman" w:cs="Times New Roman"/>
        </w:rPr>
      </w:pPr>
    </w:p>
    <w:p w:rsidR="00C452DA" w:rsidRPr="00E56186" w:rsidRDefault="00C452DA" w:rsidP="00C452DA">
      <w:pPr>
        <w:pStyle w:val="Ttulo1"/>
        <w:ind w:left="-5" w:right="0"/>
        <w:rPr>
          <w:rFonts w:ascii="Times New Roman" w:hAnsi="Times New Roman" w:cs="Times New Roman"/>
        </w:rPr>
      </w:pPr>
      <w:r w:rsidRPr="00E56186">
        <w:rPr>
          <w:rFonts w:ascii="Times New Roman" w:hAnsi="Times New Roman" w:cs="Times New Roman"/>
        </w:rPr>
        <w:t xml:space="preserve">CONTRATO Nº </w:t>
      </w:r>
      <w:r w:rsidR="00131565">
        <w:rPr>
          <w:rFonts w:ascii="Times New Roman" w:hAnsi="Times New Roman" w:cs="Times New Roman"/>
        </w:rPr>
        <w:t>010</w:t>
      </w:r>
      <w:r w:rsidRPr="00E56186">
        <w:rPr>
          <w:rFonts w:ascii="Times New Roman" w:hAnsi="Times New Roman" w:cs="Times New Roman"/>
        </w:rPr>
        <w:t>/2024</w:t>
      </w:r>
      <w:r w:rsidRPr="00E56186">
        <w:rPr>
          <w:rFonts w:ascii="Times New Roman" w:hAnsi="Times New Roman" w:cs="Times New Roman"/>
          <w:b w:val="0"/>
        </w:rPr>
        <w:t xml:space="preserve"> </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120"/>
        <w:rPr>
          <w:rFonts w:ascii="Times New Roman" w:hAnsi="Times New Roman" w:cs="Times New Roman"/>
        </w:rPr>
      </w:pPr>
      <w:r w:rsidRPr="00E56186">
        <w:rPr>
          <w:rFonts w:ascii="Times New Roman" w:hAnsi="Times New Roman" w:cs="Times New Roman"/>
        </w:rPr>
        <w:t xml:space="preserve">A FUNDAÇÃO HOSPITALAR DE JANAÚBA, ESTADO DE MINAS GERAIS, Pessoa Jurídica de Direito Público, com endereço a AV. Pedro Álvares Cabral, 140, B. Veredas, CNPJ n° 14.706.049/0001-79, doravante denominado CONTRATANTE, neste ato representado por </w:t>
      </w:r>
      <w:proofErr w:type="gramStart"/>
      <w:r w:rsidRPr="00E56186">
        <w:rPr>
          <w:rFonts w:ascii="Times New Roman" w:hAnsi="Times New Roman" w:cs="Times New Roman"/>
        </w:rPr>
        <w:t>sua Diretor</w:t>
      </w:r>
      <w:proofErr w:type="gramEnd"/>
      <w:r w:rsidRPr="00E56186">
        <w:rPr>
          <w:rFonts w:ascii="Times New Roman" w:hAnsi="Times New Roman" w:cs="Times New Roman"/>
        </w:rPr>
        <w:t xml:space="preserve"> o Sr. </w:t>
      </w:r>
      <w:proofErr w:type="spellStart"/>
      <w:r w:rsidRPr="00E56186">
        <w:rPr>
          <w:rFonts w:ascii="Times New Roman" w:hAnsi="Times New Roman" w:cs="Times New Roman"/>
        </w:rPr>
        <w:t>Neurisvaldo</w:t>
      </w:r>
      <w:proofErr w:type="spellEnd"/>
      <w:r w:rsidRPr="00E56186">
        <w:rPr>
          <w:rFonts w:ascii="Times New Roman" w:hAnsi="Times New Roman" w:cs="Times New Roman"/>
        </w:rPr>
        <w:t xml:space="preserve"> Teixeira dos Santos, do outro lado, a empresa, </w:t>
      </w:r>
      <w:r w:rsidR="00131565">
        <w:rPr>
          <w:rFonts w:ascii="Times New Roman" w:hAnsi="Times New Roman" w:cs="Times New Roman"/>
        </w:rPr>
        <w:t>T L Soluções Tecnológicas LTDA</w:t>
      </w:r>
      <w:r w:rsidRPr="00E56186">
        <w:rPr>
          <w:rFonts w:ascii="Times New Roman" w:hAnsi="Times New Roman" w:cs="Times New Roman"/>
        </w:rPr>
        <w:t xml:space="preserve">, inscrita no CNPJ/MF sob nº </w:t>
      </w:r>
      <w:r w:rsidR="00131565">
        <w:rPr>
          <w:rFonts w:ascii="Times New Roman" w:hAnsi="Times New Roman" w:cs="Times New Roman"/>
        </w:rPr>
        <w:t>49.490.183/0001-60</w:t>
      </w:r>
      <w:r w:rsidRPr="00E56186">
        <w:rPr>
          <w:rFonts w:ascii="Times New Roman" w:hAnsi="Times New Roman" w:cs="Times New Roman"/>
        </w:rPr>
        <w:t xml:space="preserve">, com sede na </w:t>
      </w:r>
      <w:r w:rsidR="00131565">
        <w:rPr>
          <w:rFonts w:ascii="Times New Roman" w:hAnsi="Times New Roman" w:cs="Times New Roman"/>
        </w:rPr>
        <w:t xml:space="preserve">R Sete de Setembro, nº 643 – </w:t>
      </w:r>
      <w:proofErr w:type="spellStart"/>
      <w:r w:rsidR="00131565">
        <w:rPr>
          <w:rFonts w:ascii="Times New Roman" w:hAnsi="Times New Roman" w:cs="Times New Roman"/>
        </w:rPr>
        <w:t>Fundosfundos</w:t>
      </w:r>
      <w:proofErr w:type="spellEnd"/>
      <w:r w:rsidR="00131565">
        <w:rPr>
          <w:rFonts w:ascii="Times New Roman" w:hAnsi="Times New Roman" w:cs="Times New Roman"/>
        </w:rPr>
        <w:t>, Santa Terezinha,</w:t>
      </w:r>
      <w:r w:rsidRPr="00E56186">
        <w:rPr>
          <w:rFonts w:ascii="Times New Roman" w:hAnsi="Times New Roman" w:cs="Times New Roman"/>
        </w:rPr>
        <w:t xml:space="preserve"> na cidade de </w:t>
      </w:r>
      <w:r w:rsidR="00131565">
        <w:rPr>
          <w:rFonts w:ascii="Times New Roman" w:hAnsi="Times New Roman" w:cs="Times New Roman"/>
        </w:rPr>
        <w:t>Pato Branco/PR</w:t>
      </w:r>
      <w:r w:rsidRPr="00E56186">
        <w:rPr>
          <w:rFonts w:ascii="Times New Roman" w:hAnsi="Times New Roman" w:cs="Times New Roman"/>
        </w:rPr>
        <w:t xml:space="preserve">, neste ato representada por </w:t>
      </w:r>
      <w:proofErr w:type="spellStart"/>
      <w:r w:rsidR="0090191E">
        <w:rPr>
          <w:rFonts w:ascii="Times New Roman" w:hAnsi="Times New Roman" w:cs="Times New Roman"/>
        </w:rPr>
        <w:t>Thaila</w:t>
      </w:r>
      <w:proofErr w:type="spellEnd"/>
      <w:r w:rsidR="0090191E">
        <w:rPr>
          <w:rFonts w:ascii="Times New Roman" w:hAnsi="Times New Roman" w:cs="Times New Roman"/>
        </w:rPr>
        <w:t xml:space="preserve"> </w:t>
      </w:r>
      <w:proofErr w:type="spellStart"/>
      <w:r w:rsidR="0090191E">
        <w:rPr>
          <w:rFonts w:ascii="Times New Roman" w:hAnsi="Times New Roman" w:cs="Times New Roman"/>
        </w:rPr>
        <w:t>Saiana</w:t>
      </w:r>
      <w:proofErr w:type="spellEnd"/>
      <w:r w:rsidR="0090191E">
        <w:rPr>
          <w:rFonts w:ascii="Times New Roman" w:hAnsi="Times New Roman" w:cs="Times New Roman"/>
        </w:rPr>
        <w:t xml:space="preserve"> Andreatta da Silva</w:t>
      </w:r>
      <w:r w:rsidRPr="00E56186">
        <w:rPr>
          <w:rFonts w:ascii="Times New Roman" w:hAnsi="Times New Roman" w:cs="Times New Roman"/>
        </w:rPr>
        <w:t xml:space="preserve">, portador da carteira de identidade </w:t>
      </w:r>
      <w:r w:rsidR="0090191E">
        <w:rPr>
          <w:rFonts w:ascii="Times New Roman" w:hAnsi="Times New Roman" w:cs="Times New Roman"/>
        </w:rPr>
        <w:t>11.131.209-5</w:t>
      </w:r>
      <w:r w:rsidRPr="00E56186">
        <w:rPr>
          <w:rFonts w:ascii="Times New Roman" w:hAnsi="Times New Roman" w:cs="Times New Roman"/>
        </w:rPr>
        <w:t xml:space="preserve">, CPF </w:t>
      </w:r>
      <w:r w:rsidR="0090191E">
        <w:rPr>
          <w:rFonts w:ascii="Times New Roman" w:hAnsi="Times New Roman" w:cs="Times New Roman"/>
        </w:rPr>
        <w:t>107.291.639-89</w:t>
      </w:r>
      <w:r w:rsidRPr="00E56186">
        <w:rPr>
          <w:rFonts w:ascii="Times New Roman" w:hAnsi="Times New Roman" w:cs="Times New Roman"/>
        </w:rPr>
        <w:t>, d</w:t>
      </w:r>
      <w:r w:rsidR="008F6E83" w:rsidRPr="00E56186">
        <w:rPr>
          <w:rFonts w:ascii="Times New Roman" w:hAnsi="Times New Roman" w:cs="Times New Roman"/>
        </w:rPr>
        <w:t>oravante denominada CONTRATADA</w:t>
      </w:r>
      <w:r w:rsidRPr="00E56186">
        <w:rPr>
          <w:rFonts w:ascii="Times New Roman" w:hAnsi="Times New Roman" w:cs="Times New Roman"/>
        </w:rPr>
        <w:t xml:space="preserve">, resolvem firmar o presente contrato, com fundamento no Processo nº 018/2024 - Dispensa nº 003/2024, em observância às disposições da Lei nº 14.133, de 1º de abril de 2021, e demais legislação aplicável, aplicando-se a este instrumento suas disposições irrestrita e incondicionalmente, bem como pelas cláusulas e condições seguintes: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1 - CLÁUSULA PRIMEIRA: DO OBJETO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1.1 - Constitui objeto do presente instrumento a </w:t>
      </w:r>
      <w:r w:rsidRPr="00E56186">
        <w:rPr>
          <w:rFonts w:ascii="Times New Roman" w:hAnsi="Times New Roman" w:cs="Times New Roman"/>
          <w:b/>
          <w:bCs/>
        </w:rPr>
        <w:t>AQUISIÇÃO DE MATERIAIS E EQUIPAMENTOS DE INFORMÁTICA PARA ATENDER ÀS NECESSIDADES DA FUNDAÇÃO HOSPITALAR DE JANAÚBA-MG</w:t>
      </w:r>
      <w:proofErr w:type="gramStart"/>
      <w:r w:rsidRPr="00E56186">
        <w:rPr>
          <w:rFonts w:ascii="Times New Roman" w:hAnsi="Times New Roman" w:cs="Times New Roman"/>
          <w:b/>
          <w:bCs/>
        </w:rPr>
        <w:t>.,</w:t>
      </w:r>
      <w:proofErr w:type="gramEnd"/>
      <w:r w:rsidRPr="00E56186">
        <w:rPr>
          <w:rFonts w:ascii="Times New Roman" w:eastAsia="Times New Roman" w:hAnsi="Times New Roman" w:cs="Times New Roman"/>
          <w:b/>
          <w:bCs/>
        </w:rPr>
        <w:t xml:space="preserve"> </w:t>
      </w:r>
      <w:r w:rsidRPr="00E56186">
        <w:rPr>
          <w:rFonts w:ascii="Times New Roman" w:hAnsi="Times New Roman" w:cs="Times New Roman"/>
        </w:rPr>
        <w:t xml:space="preserve">nos termos e condições especificadas no Termo de referência parte integrante e inseparável deste contrato. </w:t>
      </w:r>
    </w:p>
    <w:p w:rsidR="00C452DA" w:rsidRPr="00E56186" w:rsidRDefault="00C452DA" w:rsidP="00C452DA">
      <w:pPr>
        <w:spacing w:after="0" w:line="259" w:lineRule="auto"/>
        <w:ind w:left="-5"/>
        <w:rPr>
          <w:rFonts w:ascii="Times New Roman" w:hAnsi="Times New Roman" w:cs="Times New Roman"/>
        </w:rPr>
      </w:pPr>
      <w:r w:rsidRPr="00E56186">
        <w:rPr>
          <w:rFonts w:ascii="Times New Roman" w:hAnsi="Times New Roman" w:cs="Times New Roman"/>
          <w:b/>
        </w:rPr>
        <w:t>1.2 - Objeto da contratação:</w:t>
      </w:r>
      <w:r w:rsidRPr="00E56186">
        <w:rPr>
          <w:rFonts w:ascii="Times New Roman" w:hAnsi="Times New Roman" w:cs="Times New Roman"/>
        </w:rPr>
        <w:t xml:space="preserve"> </w:t>
      </w:r>
    </w:p>
    <w:tbl>
      <w:tblPr>
        <w:tblStyle w:val="TableNormal"/>
        <w:tblW w:w="0" w:type="auto"/>
        <w:jc w:val="center"/>
        <w:tblInd w:w="123" w:type="dxa"/>
        <w:tblLayout w:type="fixed"/>
        <w:tblLook w:val="01E0" w:firstRow="1" w:lastRow="1" w:firstColumn="1" w:lastColumn="1" w:noHBand="0" w:noVBand="0"/>
      </w:tblPr>
      <w:tblGrid>
        <w:gridCol w:w="539"/>
        <w:gridCol w:w="2863"/>
        <w:gridCol w:w="1076"/>
        <w:gridCol w:w="1582"/>
        <w:gridCol w:w="3577"/>
      </w:tblGrid>
      <w:tr w:rsidR="0090191E" w:rsidTr="0090191E">
        <w:trPr>
          <w:trHeight w:val="253"/>
          <w:jc w:val="center"/>
        </w:trPr>
        <w:tc>
          <w:tcPr>
            <w:tcW w:w="539" w:type="dxa"/>
            <w:tcBorders>
              <w:top w:val="single" w:sz="12" w:space="0" w:color="231F20"/>
            </w:tcBorders>
          </w:tcPr>
          <w:p w:rsidR="0090191E" w:rsidRDefault="0090191E" w:rsidP="00F74100">
            <w:pPr>
              <w:pStyle w:val="TableParagraph"/>
              <w:spacing w:before="56"/>
              <w:ind w:left="58"/>
              <w:rPr>
                <w:rFonts w:ascii="Arial" w:hAnsi="Arial"/>
                <w:b/>
                <w:sz w:val="12"/>
              </w:rPr>
            </w:pPr>
            <w:r>
              <w:rPr>
                <w:rFonts w:ascii="Arial" w:hAnsi="Arial"/>
                <w:b/>
                <w:color w:val="231F20"/>
                <w:spacing w:val="-2"/>
                <w:sz w:val="12"/>
              </w:rPr>
              <w:t>Código</w:t>
            </w:r>
          </w:p>
        </w:tc>
        <w:tc>
          <w:tcPr>
            <w:tcW w:w="2863" w:type="dxa"/>
            <w:tcBorders>
              <w:top w:val="single" w:sz="12" w:space="0" w:color="231F20"/>
            </w:tcBorders>
          </w:tcPr>
          <w:p w:rsidR="0090191E" w:rsidRDefault="0090191E" w:rsidP="00F74100">
            <w:pPr>
              <w:pStyle w:val="TableParagraph"/>
              <w:spacing w:before="56"/>
              <w:ind w:left="86"/>
              <w:rPr>
                <w:rFonts w:ascii="Arial"/>
                <w:b/>
                <w:sz w:val="12"/>
              </w:rPr>
            </w:pPr>
            <w:r>
              <w:rPr>
                <w:rFonts w:ascii="Arial"/>
                <w:b/>
                <w:color w:val="231F20"/>
                <w:spacing w:val="-2"/>
                <w:sz w:val="12"/>
              </w:rPr>
              <w:t>Produto</w:t>
            </w:r>
          </w:p>
        </w:tc>
        <w:tc>
          <w:tcPr>
            <w:tcW w:w="1076" w:type="dxa"/>
            <w:tcBorders>
              <w:top w:val="single" w:sz="12" w:space="0" w:color="231F20"/>
            </w:tcBorders>
          </w:tcPr>
          <w:p w:rsidR="0090191E" w:rsidRDefault="0090191E" w:rsidP="00F74100">
            <w:pPr>
              <w:pStyle w:val="TableParagraph"/>
              <w:spacing w:before="56"/>
              <w:ind w:left="57"/>
              <w:rPr>
                <w:rFonts w:ascii="Arial"/>
                <w:b/>
                <w:sz w:val="12"/>
              </w:rPr>
            </w:pPr>
            <w:r>
              <w:rPr>
                <w:rFonts w:ascii="Arial"/>
                <w:b/>
                <w:color w:val="231F20"/>
                <w:spacing w:val="-2"/>
                <w:sz w:val="12"/>
              </w:rPr>
              <w:t>Modelo</w:t>
            </w:r>
          </w:p>
        </w:tc>
        <w:tc>
          <w:tcPr>
            <w:tcW w:w="1582" w:type="dxa"/>
            <w:tcBorders>
              <w:top w:val="single" w:sz="12" w:space="0" w:color="231F20"/>
            </w:tcBorders>
          </w:tcPr>
          <w:p w:rsidR="0090191E" w:rsidRDefault="0090191E" w:rsidP="00F74100">
            <w:pPr>
              <w:pStyle w:val="TableParagraph"/>
              <w:spacing w:before="56"/>
              <w:ind w:left="399"/>
              <w:rPr>
                <w:rFonts w:ascii="Arial"/>
                <w:b/>
                <w:sz w:val="12"/>
              </w:rPr>
            </w:pPr>
            <w:r>
              <w:rPr>
                <w:rFonts w:ascii="Arial"/>
                <w:b/>
                <w:color w:val="231F20"/>
                <w:spacing w:val="-2"/>
                <w:sz w:val="12"/>
              </w:rPr>
              <w:t>Marca/Fabricante</w:t>
            </w:r>
          </w:p>
        </w:tc>
        <w:tc>
          <w:tcPr>
            <w:tcW w:w="3577" w:type="dxa"/>
            <w:tcBorders>
              <w:top w:val="single" w:sz="12" w:space="0" w:color="231F20"/>
            </w:tcBorders>
          </w:tcPr>
          <w:p w:rsidR="0090191E" w:rsidRDefault="0090191E" w:rsidP="00F74100">
            <w:pPr>
              <w:pStyle w:val="TableParagraph"/>
              <w:tabs>
                <w:tab w:val="left" w:pos="642"/>
                <w:tab w:val="left" w:pos="1930"/>
              </w:tabs>
              <w:spacing w:before="56"/>
              <w:ind w:right="52"/>
              <w:jc w:val="right"/>
              <w:rPr>
                <w:rFonts w:ascii="Arial" w:hAnsi="Arial"/>
                <w:b/>
                <w:sz w:val="12"/>
              </w:rPr>
            </w:pPr>
            <w:r>
              <w:rPr>
                <w:rFonts w:ascii="Arial" w:hAnsi="Arial"/>
                <w:b/>
                <w:color w:val="231F20"/>
                <w:spacing w:val="-4"/>
                <w:sz w:val="12"/>
              </w:rPr>
              <w:t>Qtde</w:t>
            </w:r>
            <w:r>
              <w:rPr>
                <w:rFonts w:ascii="Arial" w:hAnsi="Arial"/>
                <w:b/>
                <w:color w:val="231F20"/>
                <w:sz w:val="12"/>
              </w:rPr>
              <w:tab/>
            </w:r>
            <w:r>
              <w:rPr>
                <w:rFonts w:ascii="Arial" w:hAnsi="Arial"/>
                <w:b/>
                <w:color w:val="231F20"/>
                <w:spacing w:val="-2"/>
                <w:sz w:val="12"/>
              </w:rPr>
              <w:t>Valor</w:t>
            </w:r>
            <w:r>
              <w:rPr>
                <w:rFonts w:ascii="Arial" w:hAnsi="Arial"/>
                <w:b/>
                <w:color w:val="231F20"/>
                <w:spacing w:val="-1"/>
                <w:sz w:val="12"/>
              </w:rPr>
              <w:t xml:space="preserve"> </w:t>
            </w:r>
            <w:r>
              <w:rPr>
                <w:rFonts w:ascii="Arial" w:hAnsi="Arial"/>
                <w:b/>
                <w:color w:val="231F20"/>
                <w:spacing w:val="-2"/>
                <w:sz w:val="12"/>
              </w:rPr>
              <w:t>Unitário</w:t>
            </w:r>
            <w:r>
              <w:rPr>
                <w:rFonts w:ascii="Arial" w:hAnsi="Arial"/>
                <w:b/>
                <w:color w:val="231F20"/>
                <w:sz w:val="12"/>
              </w:rPr>
              <w:tab/>
            </w:r>
            <w:r>
              <w:rPr>
                <w:rFonts w:ascii="Arial" w:hAnsi="Arial"/>
                <w:b/>
                <w:color w:val="231F20"/>
                <w:spacing w:val="-2"/>
                <w:sz w:val="12"/>
              </w:rPr>
              <w:t>Valor</w:t>
            </w:r>
            <w:r>
              <w:rPr>
                <w:rFonts w:ascii="Arial" w:hAnsi="Arial"/>
                <w:b/>
                <w:color w:val="231F20"/>
                <w:spacing w:val="-1"/>
                <w:sz w:val="12"/>
              </w:rPr>
              <w:t xml:space="preserve"> </w:t>
            </w:r>
            <w:r>
              <w:rPr>
                <w:rFonts w:ascii="Arial" w:hAnsi="Arial"/>
                <w:b/>
                <w:color w:val="231F20"/>
                <w:spacing w:val="-2"/>
                <w:sz w:val="12"/>
              </w:rPr>
              <w:t>Total</w:t>
            </w:r>
          </w:p>
        </w:tc>
      </w:tr>
      <w:tr w:rsidR="0090191E" w:rsidTr="0090191E">
        <w:trPr>
          <w:trHeight w:val="1217"/>
          <w:jc w:val="center"/>
        </w:trPr>
        <w:tc>
          <w:tcPr>
            <w:tcW w:w="539" w:type="dxa"/>
          </w:tcPr>
          <w:p w:rsidR="0090191E" w:rsidRDefault="0090191E" w:rsidP="00F74100">
            <w:pPr>
              <w:pStyle w:val="TableParagraph"/>
              <w:spacing w:before="54"/>
              <w:ind w:left="58"/>
              <w:rPr>
                <w:sz w:val="12"/>
              </w:rPr>
            </w:pPr>
            <w:r>
              <w:rPr>
                <w:color w:val="231F20"/>
                <w:spacing w:val="-4"/>
                <w:sz w:val="12"/>
              </w:rPr>
              <w:t>0009</w:t>
            </w:r>
          </w:p>
        </w:tc>
        <w:tc>
          <w:tcPr>
            <w:tcW w:w="2863" w:type="dxa"/>
          </w:tcPr>
          <w:p w:rsidR="0090191E" w:rsidRDefault="0090191E" w:rsidP="00F74100">
            <w:pPr>
              <w:pStyle w:val="TableParagraph"/>
              <w:spacing w:before="54"/>
              <w:ind w:left="86" w:right="94"/>
              <w:rPr>
                <w:sz w:val="12"/>
              </w:rPr>
            </w:pPr>
            <w:r>
              <w:rPr>
                <w:color w:val="231F20"/>
                <w:sz w:val="12"/>
              </w:rPr>
              <w:t>SWITCH 48 PORTAS GIGABIT 10/100/1000</w:t>
            </w:r>
            <w:r>
              <w:rPr>
                <w:color w:val="231F20"/>
                <w:spacing w:val="40"/>
                <w:sz w:val="12"/>
              </w:rPr>
              <w:t xml:space="preserve"> </w:t>
            </w:r>
            <w:proofErr w:type="gramStart"/>
            <w:r>
              <w:rPr>
                <w:color w:val="231F20"/>
                <w:sz w:val="12"/>
              </w:rPr>
              <w:t>MBPS:</w:t>
            </w:r>
            <w:proofErr w:type="gramEnd"/>
            <w:r>
              <w:rPr>
                <w:color w:val="231F20"/>
                <w:sz w:val="12"/>
              </w:rPr>
              <w:t>SWITCH 48 PORTAS GIGABIT</w:t>
            </w:r>
            <w:r>
              <w:rPr>
                <w:color w:val="231F20"/>
                <w:spacing w:val="40"/>
                <w:sz w:val="12"/>
              </w:rPr>
              <w:t xml:space="preserve"> </w:t>
            </w:r>
            <w:r>
              <w:rPr>
                <w:color w:val="231F20"/>
                <w:sz w:val="12"/>
              </w:rPr>
              <w:t>10/100/1000 MBPS CAPACIDADE DE</w:t>
            </w:r>
            <w:r>
              <w:rPr>
                <w:color w:val="231F20"/>
                <w:spacing w:val="40"/>
                <w:sz w:val="12"/>
              </w:rPr>
              <w:t xml:space="preserve"> </w:t>
            </w:r>
            <w:r>
              <w:rPr>
                <w:color w:val="231F20"/>
                <w:sz w:val="12"/>
              </w:rPr>
              <w:t>COMUTACAO: 96 GBPS SERIE: GIGABIT</w:t>
            </w:r>
            <w:r>
              <w:rPr>
                <w:color w:val="231F20"/>
                <w:spacing w:val="40"/>
                <w:sz w:val="12"/>
              </w:rPr>
              <w:t xml:space="preserve"> </w:t>
            </w:r>
            <w:r>
              <w:rPr>
                <w:color w:val="231F20"/>
                <w:sz w:val="12"/>
              </w:rPr>
              <w:t>PORTAS INCLUIDAS: 48 PORTAS RJ-45 TIPO</w:t>
            </w:r>
            <w:r>
              <w:rPr>
                <w:color w:val="231F20"/>
                <w:spacing w:val="40"/>
                <w:sz w:val="12"/>
              </w:rPr>
              <w:t xml:space="preserve"> </w:t>
            </w:r>
            <w:r>
              <w:rPr>
                <w:color w:val="231F20"/>
                <w:sz w:val="12"/>
              </w:rPr>
              <w:t>DE TELECOMUNICACAO: STORE AND</w:t>
            </w:r>
            <w:r>
              <w:rPr>
                <w:color w:val="231F20"/>
                <w:spacing w:val="40"/>
                <w:sz w:val="12"/>
              </w:rPr>
              <w:t xml:space="preserve"> </w:t>
            </w:r>
            <w:r>
              <w:rPr>
                <w:color w:val="231F20"/>
                <w:sz w:val="12"/>
              </w:rPr>
              <w:t>FORWARD</w:t>
            </w:r>
            <w:r>
              <w:rPr>
                <w:color w:val="231F20"/>
                <w:spacing w:val="-5"/>
                <w:sz w:val="12"/>
              </w:rPr>
              <w:t xml:space="preserve"> </w:t>
            </w:r>
            <w:r>
              <w:rPr>
                <w:color w:val="231F20"/>
                <w:sz w:val="12"/>
              </w:rPr>
              <w:t>VOLTAGEM:</w:t>
            </w:r>
            <w:r>
              <w:rPr>
                <w:color w:val="231F20"/>
                <w:spacing w:val="-5"/>
                <w:sz w:val="12"/>
              </w:rPr>
              <w:t xml:space="preserve"> </w:t>
            </w:r>
            <w:r>
              <w:rPr>
                <w:color w:val="231F20"/>
                <w:sz w:val="12"/>
              </w:rPr>
              <w:t>BIVOLT</w:t>
            </w:r>
            <w:r>
              <w:rPr>
                <w:color w:val="231F20"/>
                <w:spacing w:val="-5"/>
                <w:sz w:val="12"/>
              </w:rPr>
              <w:t xml:space="preserve"> </w:t>
            </w:r>
            <w:r>
              <w:rPr>
                <w:color w:val="231F20"/>
                <w:sz w:val="12"/>
              </w:rPr>
              <w:t>GARANTIA:</w:t>
            </w:r>
            <w:r>
              <w:rPr>
                <w:color w:val="231F20"/>
                <w:spacing w:val="-5"/>
                <w:sz w:val="12"/>
              </w:rPr>
              <w:t xml:space="preserve"> </w:t>
            </w:r>
            <w:r>
              <w:rPr>
                <w:color w:val="231F20"/>
                <w:sz w:val="12"/>
              </w:rPr>
              <w:t>12</w:t>
            </w:r>
            <w:r>
              <w:rPr>
                <w:color w:val="231F20"/>
                <w:spacing w:val="40"/>
                <w:sz w:val="12"/>
              </w:rPr>
              <w:t xml:space="preserve"> </w:t>
            </w:r>
            <w:r>
              <w:rPr>
                <w:color w:val="231F20"/>
                <w:sz w:val="12"/>
              </w:rPr>
              <w:t>MESES.</w:t>
            </w:r>
            <w:r>
              <w:rPr>
                <w:color w:val="231F20"/>
                <w:spacing w:val="-4"/>
                <w:sz w:val="12"/>
              </w:rPr>
              <w:t xml:space="preserve"> </w:t>
            </w:r>
            <w:r>
              <w:rPr>
                <w:color w:val="231F20"/>
                <w:sz w:val="12"/>
              </w:rPr>
              <w:t>IGUAL</w:t>
            </w:r>
            <w:r>
              <w:rPr>
                <w:color w:val="231F20"/>
                <w:spacing w:val="-3"/>
                <w:sz w:val="12"/>
              </w:rPr>
              <w:t xml:space="preserve"> </w:t>
            </w:r>
            <w:r>
              <w:rPr>
                <w:color w:val="231F20"/>
                <w:sz w:val="12"/>
              </w:rPr>
              <w:t>OU</w:t>
            </w:r>
            <w:r>
              <w:rPr>
                <w:color w:val="231F20"/>
                <w:spacing w:val="-3"/>
                <w:sz w:val="12"/>
              </w:rPr>
              <w:t xml:space="preserve"> </w:t>
            </w:r>
            <w:r>
              <w:rPr>
                <w:color w:val="231F20"/>
                <w:sz w:val="12"/>
              </w:rPr>
              <w:t>SIMILAR</w:t>
            </w:r>
            <w:r>
              <w:rPr>
                <w:color w:val="231F20"/>
                <w:spacing w:val="-4"/>
                <w:sz w:val="12"/>
              </w:rPr>
              <w:t xml:space="preserve"> </w:t>
            </w:r>
            <w:r>
              <w:rPr>
                <w:color w:val="231F20"/>
                <w:sz w:val="12"/>
              </w:rPr>
              <w:t>A</w:t>
            </w:r>
            <w:r>
              <w:rPr>
                <w:color w:val="231F20"/>
                <w:spacing w:val="-3"/>
                <w:sz w:val="12"/>
              </w:rPr>
              <w:t xml:space="preserve"> </w:t>
            </w:r>
            <w:r>
              <w:rPr>
                <w:color w:val="231F20"/>
                <w:sz w:val="12"/>
              </w:rPr>
              <w:t>MARCA</w:t>
            </w:r>
            <w:r>
              <w:rPr>
                <w:color w:val="231F20"/>
                <w:spacing w:val="-3"/>
                <w:sz w:val="12"/>
              </w:rPr>
              <w:t xml:space="preserve"> </w:t>
            </w:r>
            <w:r>
              <w:rPr>
                <w:color w:val="231F20"/>
                <w:sz w:val="12"/>
              </w:rPr>
              <w:t>TP-</w:t>
            </w:r>
            <w:r>
              <w:rPr>
                <w:color w:val="231F20"/>
                <w:spacing w:val="-2"/>
                <w:sz w:val="12"/>
              </w:rPr>
              <w:t>LINK.</w:t>
            </w:r>
          </w:p>
        </w:tc>
        <w:tc>
          <w:tcPr>
            <w:tcW w:w="1076" w:type="dxa"/>
          </w:tcPr>
          <w:p w:rsidR="0090191E" w:rsidRDefault="0090191E" w:rsidP="00F74100">
            <w:pPr>
              <w:pStyle w:val="TableParagraph"/>
              <w:spacing w:before="54"/>
              <w:ind w:left="57"/>
              <w:rPr>
                <w:sz w:val="12"/>
              </w:rPr>
            </w:pPr>
            <w:r>
              <w:rPr>
                <w:color w:val="231F20"/>
                <w:sz w:val="12"/>
              </w:rPr>
              <w:t>TL-</w:t>
            </w:r>
            <w:r>
              <w:rPr>
                <w:color w:val="231F20"/>
                <w:spacing w:val="-2"/>
                <w:sz w:val="12"/>
              </w:rPr>
              <w:t>SG1048</w:t>
            </w:r>
          </w:p>
        </w:tc>
        <w:tc>
          <w:tcPr>
            <w:tcW w:w="1582" w:type="dxa"/>
          </w:tcPr>
          <w:p w:rsidR="0090191E" w:rsidRDefault="0090191E" w:rsidP="00F74100">
            <w:pPr>
              <w:pStyle w:val="TableParagraph"/>
              <w:spacing w:before="54"/>
              <w:ind w:left="399"/>
              <w:rPr>
                <w:sz w:val="12"/>
              </w:rPr>
            </w:pPr>
            <w:r>
              <w:rPr>
                <w:color w:val="231F20"/>
                <w:sz w:val="12"/>
              </w:rPr>
              <w:t>TP-</w:t>
            </w:r>
            <w:r>
              <w:rPr>
                <w:color w:val="231F20"/>
                <w:spacing w:val="-4"/>
                <w:sz w:val="12"/>
              </w:rPr>
              <w:t>LINK</w:t>
            </w:r>
          </w:p>
        </w:tc>
        <w:tc>
          <w:tcPr>
            <w:tcW w:w="3577" w:type="dxa"/>
          </w:tcPr>
          <w:p w:rsidR="0090191E" w:rsidRDefault="0090191E" w:rsidP="00F74100">
            <w:pPr>
              <w:pStyle w:val="TableParagraph"/>
              <w:tabs>
                <w:tab w:val="left" w:pos="619"/>
                <w:tab w:val="left" w:pos="1753"/>
              </w:tabs>
              <w:spacing w:before="54"/>
              <w:ind w:right="52"/>
              <w:jc w:val="right"/>
              <w:rPr>
                <w:sz w:val="12"/>
              </w:rPr>
            </w:pPr>
            <w:proofErr w:type="gramStart"/>
            <w:r>
              <w:rPr>
                <w:color w:val="231F20"/>
                <w:sz w:val="12"/>
              </w:rPr>
              <w:t>1</w:t>
            </w:r>
            <w:proofErr w:type="gramEnd"/>
            <w:r>
              <w:rPr>
                <w:color w:val="231F20"/>
                <w:sz w:val="12"/>
              </w:rPr>
              <w:t xml:space="preserve"> </w:t>
            </w:r>
            <w:r>
              <w:rPr>
                <w:color w:val="231F20"/>
                <w:spacing w:val="-5"/>
                <w:sz w:val="12"/>
              </w:rPr>
              <w:t>UN</w:t>
            </w:r>
            <w:r>
              <w:rPr>
                <w:color w:val="231F20"/>
                <w:sz w:val="12"/>
              </w:rPr>
              <w:tab/>
              <w:t>R$</w:t>
            </w:r>
            <w:r>
              <w:rPr>
                <w:color w:val="231F20"/>
                <w:spacing w:val="-1"/>
                <w:sz w:val="12"/>
              </w:rPr>
              <w:t xml:space="preserve"> </w:t>
            </w:r>
            <w:r>
              <w:rPr>
                <w:color w:val="231F20"/>
                <w:spacing w:val="-2"/>
                <w:sz w:val="12"/>
              </w:rPr>
              <w:t>2.284,9900</w:t>
            </w:r>
            <w:r>
              <w:rPr>
                <w:color w:val="231F20"/>
                <w:sz w:val="12"/>
              </w:rPr>
              <w:tab/>
              <w:t>R$</w:t>
            </w:r>
            <w:r>
              <w:rPr>
                <w:color w:val="231F20"/>
                <w:spacing w:val="-1"/>
                <w:sz w:val="12"/>
              </w:rPr>
              <w:t xml:space="preserve"> </w:t>
            </w:r>
            <w:r>
              <w:rPr>
                <w:color w:val="231F20"/>
                <w:spacing w:val="-2"/>
                <w:sz w:val="12"/>
              </w:rPr>
              <w:t>2.284,9900</w:t>
            </w:r>
          </w:p>
        </w:tc>
      </w:tr>
      <w:tr w:rsidR="0090191E" w:rsidTr="0090191E">
        <w:trPr>
          <w:trHeight w:val="3009"/>
          <w:jc w:val="center"/>
        </w:trPr>
        <w:tc>
          <w:tcPr>
            <w:tcW w:w="539" w:type="dxa"/>
            <w:tcBorders>
              <w:bottom w:val="single" w:sz="12" w:space="0" w:color="231F20"/>
            </w:tcBorders>
          </w:tcPr>
          <w:p w:rsidR="0090191E" w:rsidRDefault="0090191E" w:rsidP="00F74100">
            <w:pPr>
              <w:pStyle w:val="TableParagraph"/>
              <w:spacing w:before="54"/>
              <w:ind w:left="58"/>
              <w:rPr>
                <w:sz w:val="12"/>
              </w:rPr>
            </w:pPr>
            <w:r>
              <w:rPr>
                <w:color w:val="231F20"/>
                <w:spacing w:val="-4"/>
                <w:sz w:val="12"/>
              </w:rPr>
              <w:t>0010</w:t>
            </w:r>
          </w:p>
        </w:tc>
        <w:tc>
          <w:tcPr>
            <w:tcW w:w="2863" w:type="dxa"/>
            <w:tcBorders>
              <w:bottom w:val="single" w:sz="12" w:space="0" w:color="231F20"/>
            </w:tcBorders>
          </w:tcPr>
          <w:p w:rsidR="0090191E" w:rsidRDefault="0090191E" w:rsidP="00F74100">
            <w:pPr>
              <w:pStyle w:val="TableParagraph"/>
              <w:spacing w:before="54"/>
              <w:ind w:left="86"/>
              <w:rPr>
                <w:sz w:val="12"/>
              </w:rPr>
            </w:pPr>
            <w:r>
              <w:rPr>
                <w:color w:val="231F20"/>
                <w:sz w:val="12"/>
              </w:rPr>
              <w:t xml:space="preserve">SWITCH </w:t>
            </w:r>
            <w:proofErr w:type="gramStart"/>
            <w:r>
              <w:rPr>
                <w:color w:val="231F20"/>
                <w:sz w:val="12"/>
              </w:rPr>
              <w:t>8</w:t>
            </w:r>
            <w:proofErr w:type="gramEnd"/>
            <w:r>
              <w:rPr>
                <w:color w:val="231F20"/>
                <w:sz w:val="12"/>
              </w:rPr>
              <w:t xml:space="preserve"> PORTAS GIGABIT 10/100/1000</w:t>
            </w:r>
            <w:r>
              <w:rPr>
                <w:color w:val="231F20"/>
                <w:spacing w:val="40"/>
                <w:sz w:val="12"/>
              </w:rPr>
              <w:t xml:space="preserve"> </w:t>
            </w:r>
            <w:r>
              <w:rPr>
                <w:color w:val="231F20"/>
                <w:sz w:val="12"/>
              </w:rPr>
              <w:t>MBPS:SWITCH</w:t>
            </w:r>
            <w:r>
              <w:rPr>
                <w:color w:val="231F20"/>
                <w:spacing w:val="-9"/>
                <w:sz w:val="12"/>
              </w:rPr>
              <w:t xml:space="preserve"> </w:t>
            </w:r>
            <w:r>
              <w:rPr>
                <w:color w:val="231F20"/>
                <w:sz w:val="12"/>
              </w:rPr>
              <w:t>8</w:t>
            </w:r>
            <w:r>
              <w:rPr>
                <w:color w:val="231F20"/>
                <w:spacing w:val="-8"/>
                <w:sz w:val="12"/>
              </w:rPr>
              <w:t xml:space="preserve"> </w:t>
            </w:r>
            <w:r>
              <w:rPr>
                <w:color w:val="231F20"/>
                <w:sz w:val="12"/>
              </w:rPr>
              <w:t>PORTAS</w:t>
            </w:r>
            <w:r>
              <w:rPr>
                <w:color w:val="231F20"/>
                <w:spacing w:val="-8"/>
                <w:sz w:val="12"/>
              </w:rPr>
              <w:t xml:space="preserve"> </w:t>
            </w:r>
            <w:r>
              <w:rPr>
                <w:color w:val="231F20"/>
                <w:sz w:val="12"/>
              </w:rPr>
              <w:t>GIGABIT</w:t>
            </w:r>
            <w:r>
              <w:rPr>
                <w:color w:val="231F20"/>
                <w:spacing w:val="-9"/>
                <w:sz w:val="12"/>
              </w:rPr>
              <w:t xml:space="preserve"> </w:t>
            </w:r>
            <w:r>
              <w:rPr>
                <w:color w:val="231F20"/>
                <w:sz w:val="12"/>
              </w:rPr>
              <w:t>10/100/1000</w:t>
            </w:r>
            <w:r>
              <w:rPr>
                <w:color w:val="231F20"/>
                <w:spacing w:val="40"/>
                <w:sz w:val="12"/>
              </w:rPr>
              <w:t xml:space="preserve"> </w:t>
            </w:r>
            <w:r>
              <w:rPr>
                <w:color w:val="231F20"/>
                <w:sz w:val="12"/>
              </w:rPr>
              <w:t>MBPS PADROES E PROTOCOLOS: IEEE</w:t>
            </w:r>
            <w:r>
              <w:rPr>
                <w:color w:val="231F20"/>
                <w:spacing w:val="40"/>
                <w:sz w:val="12"/>
              </w:rPr>
              <w:t xml:space="preserve"> </w:t>
            </w:r>
            <w:r>
              <w:rPr>
                <w:color w:val="231F20"/>
                <w:sz w:val="12"/>
              </w:rPr>
              <w:t>802.3I/802.3U/ 802.3AB/802.3X INTERFACE: 8</w:t>
            </w:r>
          </w:p>
          <w:p w:rsidR="0090191E" w:rsidRDefault="0090191E" w:rsidP="00F74100">
            <w:pPr>
              <w:pStyle w:val="TableParagraph"/>
              <w:ind w:left="86" w:right="55"/>
              <w:rPr>
                <w:sz w:val="12"/>
              </w:rPr>
            </w:pPr>
            <w:r>
              <w:rPr>
                <w:color w:val="231F20"/>
                <w:sz w:val="12"/>
              </w:rPr>
              <w:t>10/100/1000MBPS,</w:t>
            </w:r>
            <w:r>
              <w:rPr>
                <w:color w:val="231F20"/>
                <w:spacing w:val="-1"/>
                <w:sz w:val="12"/>
              </w:rPr>
              <w:t xml:space="preserve"> </w:t>
            </w:r>
            <w:r>
              <w:rPr>
                <w:color w:val="231F20"/>
                <w:sz w:val="12"/>
              </w:rPr>
              <w:t>AUTO</w:t>
            </w:r>
            <w:r>
              <w:rPr>
                <w:color w:val="231F20"/>
                <w:spacing w:val="-2"/>
                <w:sz w:val="12"/>
              </w:rPr>
              <w:t xml:space="preserve"> </w:t>
            </w:r>
            <w:r>
              <w:rPr>
                <w:color w:val="231F20"/>
                <w:sz w:val="12"/>
              </w:rPr>
              <w:t>NEGOCIACAO</w:t>
            </w:r>
            <w:r>
              <w:rPr>
                <w:color w:val="231F20"/>
                <w:spacing w:val="-2"/>
                <w:sz w:val="12"/>
              </w:rPr>
              <w:t xml:space="preserve"> </w:t>
            </w:r>
            <w:r>
              <w:rPr>
                <w:color w:val="231F20"/>
                <w:sz w:val="12"/>
              </w:rPr>
              <w:t>/</w:t>
            </w:r>
            <w:r>
              <w:rPr>
                <w:color w:val="231F20"/>
                <w:spacing w:val="-2"/>
                <w:sz w:val="12"/>
              </w:rPr>
              <w:t xml:space="preserve"> </w:t>
            </w:r>
            <w:r>
              <w:rPr>
                <w:color w:val="231F20"/>
                <w:sz w:val="12"/>
              </w:rPr>
              <w:t>AUTO</w:t>
            </w:r>
            <w:r>
              <w:rPr>
                <w:color w:val="231F20"/>
                <w:spacing w:val="40"/>
                <w:sz w:val="12"/>
              </w:rPr>
              <w:t xml:space="preserve"> </w:t>
            </w:r>
            <w:r>
              <w:rPr>
                <w:color w:val="231F20"/>
                <w:sz w:val="12"/>
              </w:rPr>
              <w:t>MDI</w:t>
            </w:r>
            <w:r>
              <w:rPr>
                <w:color w:val="231F20"/>
                <w:spacing w:val="-7"/>
                <w:sz w:val="12"/>
              </w:rPr>
              <w:t xml:space="preserve"> </w:t>
            </w:r>
            <w:r>
              <w:rPr>
                <w:color w:val="231F20"/>
                <w:sz w:val="12"/>
              </w:rPr>
              <w:t>/</w:t>
            </w:r>
            <w:r>
              <w:rPr>
                <w:color w:val="231F20"/>
                <w:spacing w:val="-7"/>
                <w:sz w:val="12"/>
              </w:rPr>
              <w:t xml:space="preserve"> </w:t>
            </w:r>
            <w:r>
              <w:rPr>
                <w:color w:val="231F20"/>
                <w:sz w:val="12"/>
              </w:rPr>
              <w:t>MDIX</w:t>
            </w:r>
            <w:r>
              <w:rPr>
                <w:color w:val="231F20"/>
                <w:spacing w:val="-7"/>
                <w:sz w:val="12"/>
              </w:rPr>
              <w:t xml:space="preserve"> </w:t>
            </w:r>
            <w:r>
              <w:rPr>
                <w:color w:val="231F20"/>
                <w:sz w:val="12"/>
              </w:rPr>
              <w:t>SEM</w:t>
            </w:r>
            <w:r>
              <w:rPr>
                <w:color w:val="231F20"/>
                <w:spacing w:val="-7"/>
                <w:sz w:val="12"/>
              </w:rPr>
              <w:t xml:space="preserve"> </w:t>
            </w:r>
            <w:r>
              <w:rPr>
                <w:color w:val="231F20"/>
                <w:sz w:val="12"/>
              </w:rPr>
              <w:t>VENTOINHA</w:t>
            </w:r>
            <w:r>
              <w:rPr>
                <w:color w:val="231F20"/>
                <w:spacing w:val="-7"/>
                <w:sz w:val="12"/>
              </w:rPr>
              <w:t xml:space="preserve"> </w:t>
            </w:r>
            <w:r>
              <w:rPr>
                <w:color w:val="231F20"/>
                <w:sz w:val="12"/>
              </w:rPr>
              <w:t>PARA</w:t>
            </w:r>
            <w:r>
              <w:rPr>
                <w:color w:val="231F20"/>
                <w:spacing w:val="-7"/>
                <w:sz w:val="12"/>
              </w:rPr>
              <w:t xml:space="preserve"> </w:t>
            </w:r>
            <w:r>
              <w:rPr>
                <w:color w:val="231F20"/>
                <w:sz w:val="12"/>
              </w:rPr>
              <w:t>OPERACAO</w:t>
            </w:r>
            <w:r>
              <w:rPr>
                <w:color w:val="231F20"/>
                <w:spacing w:val="40"/>
                <w:sz w:val="12"/>
              </w:rPr>
              <w:t xml:space="preserve"> </w:t>
            </w:r>
            <w:r>
              <w:rPr>
                <w:color w:val="231F20"/>
                <w:sz w:val="12"/>
              </w:rPr>
              <w:t>SILENCIOSA FONTE DE ALIMENTACAO</w:t>
            </w:r>
            <w:r>
              <w:rPr>
                <w:color w:val="231F20"/>
                <w:spacing w:val="40"/>
                <w:sz w:val="12"/>
              </w:rPr>
              <w:t xml:space="preserve"> </w:t>
            </w:r>
            <w:r>
              <w:rPr>
                <w:color w:val="231F20"/>
                <w:sz w:val="12"/>
              </w:rPr>
              <w:t>EXTERNA: FONTE DE ENERGIA EXTERNA</w:t>
            </w:r>
            <w:r>
              <w:rPr>
                <w:color w:val="231F20"/>
                <w:spacing w:val="40"/>
                <w:sz w:val="12"/>
              </w:rPr>
              <w:t xml:space="preserve"> </w:t>
            </w:r>
            <w:r>
              <w:rPr>
                <w:color w:val="231F20"/>
                <w:sz w:val="12"/>
              </w:rPr>
              <w:t>(SAIDA: 5VDC/0.6A) DIMENSOES (L X C X A):</w:t>
            </w:r>
            <w:r>
              <w:rPr>
                <w:color w:val="231F20"/>
                <w:spacing w:val="40"/>
                <w:sz w:val="12"/>
              </w:rPr>
              <w:t xml:space="preserve"> </w:t>
            </w:r>
            <w:r>
              <w:rPr>
                <w:color w:val="231F20"/>
                <w:sz w:val="12"/>
              </w:rPr>
              <w:t>127 66.5 23 MM (5.0 2.6 0.9 POL.) MAX POWER</w:t>
            </w:r>
            <w:r>
              <w:rPr>
                <w:color w:val="231F20"/>
                <w:spacing w:val="40"/>
                <w:sz w:val="12"/>
              </w:rPr>
              <w:t xml:space="preserve"> </w:t>
            </w:r>
            <w:r>
              <w:rPr>
                <w:color w:val="231F20"/>
                <w:sz w:val="12"/>
              </w:rPr>
              <w:t>CONSUMPTION:</w:t>
            </w:r>
            <w:r>
              <w:rPr>
                <w:color w:val="231F20"/>
                <w:spacing w:val="-9"/>
                <w:sz w:val="12"/>
              </w:rPr>
              <w:t xml:space="preserve"> </w:t>
            </w:r>
            <w:r>
              <w:rPr>
                <w:color w:val="231F20"/>
                <w:sz w:val="12"/>
              </w:rPr>
              <w:t>3.9W</w:t>
            </w:r>
            <w:r>
              <w:rPr>
                <w:color w:val="231F20"/>
                <w:spacing w:val="-8"/>
                <w:sz w:val="12"/>
              </w:rPr>
              <w:t xml:space="preserve"> </w:t>
            </w:r>
            <w:r>
              <w:rPr>
                <w:color w:val="231F20"/>
                <w:sz w:val="12"/>
              </w:rPr>
              <w:t>MAX</w:t>
            </w:r>
            <w:r>
              <w:rPr>
                <w:color w:val="231F20"/>
                <w:spacing w:val="-8"/>
                <w:sz w:val="12"/>
              </w:rPr>
              <w:t xml:space="preserve"> </w:t>
            </w:r>
            <w:r>
              <w:rPr>
                <w:color w:val="231F20"/>
                <w:sz w:val="12"/>
              </w:rPr>
              <w:t>HEAT</w:t>
            </w:r>
            <w:r>
              <w:rPr>
                <w:color w:val="231F20"/>
                <w:spacing w:val="-9"/>
                <w:sz w:val="12"/>
              </w:rPr>
              <w:t xml:space="preserve"> </w:t>
            </w:r>
            <w:r>
              <w:rPr>
                <w:color w:val="231F20"/>
                <w:sz w:val="12"/>
              </w:rPr>
              <w:t>DISSIPATION:</w:t>
            </w:r>
          </w:p>
          <w:p w:rsidR="0090191E" w:rsidRDefault="0090191E" w:rsidP="00F74100">
            <w:pPr>
              <w:pStyle w:val="TableParagraph"/>
              <w:ind w:left="86"/>
              <w:rPr>
                <w:sz w:val="12"/>
              </w:rPr>
            </w:pPr>
            <w:r>
              <w:rPr>
                <w:color w:val="231F20"/>
                <w:sz w:val="12"/>
              </w:rPr>
              <w:t>13.299</w:t>
            </w:r>
            <w:r>
              <w:rPr>
                <w:color w:val="231F20"/>
                <w:spacing w:val="-5"/>
                <w:sz w:val="12"/>
              </w:rPr>
              <w:t xml:space="preserve"> </w:t>
            </w:r>
            <w:r>
              <w:rPr>
                <w:color w:val="231F20"/>
                <w:sz w:val="12"/>
              </w:rPr>
              <w:t>BTU/H</w:t>
            </w:r>
            <w:r>
              <w:rPr>
                <w:color w:val="231F20"/>
                <w:spacing w:val="-5"/>
                <w:sz w:val="12"/>
              </w:rPr>
              <w:t xml:space="preserve"> </w:t>
            </w:r>
            <w:r>
              <w:rPr>
                <w:color w:val="231F20"/>
                <w:sz w:val="12"/>
              </w:rPr>
              <w:t>CAPACIDADE</w:t>
            </w:r>
            <w:r>
              <w:rPr>
                <w:color w:val="231F20"/>
                <w:spacing w:val="-4"/>
                <w:sz w:val="12"/>
              </w:rPr>
              <w:t xml:space="preserve"> </w:t>
            </w:r>
            <w:r>
              <w:rPr>
                <w:color w:val="231F20"/>
                <w:sz w:val="12"/>
              </w:rPr>
              <w:t>DE</w:t>
            </w:r>
            <w:r>
              <w:rPr>
                <w:color w:val="231F20"/>
                <w:spacing w:val="-4"/>
                <w:sz w:val="12"/>
              </w:rPr>
              <w:t xml:space="preserve"> </w:t>
            </w:r>
            <w:r>
              <w:rPr>
                <w:color w:val="231F20"/>
                <w:spacing w:val="-2"/>
                <w:sz w:val="12"/>
              </w:rPr>
              <w:t>COMUTACAO:</w:t>
            </w:r>
          </w:p>
          <w:p w:rsidR="0090191E" w:rsidRDefault="0090191E" w:rsidP="00F74100">
            <w:pPr>
              <w:pStyle w:val="TableParagraph"/>
              <w:ind w:left="86" w:right="94"/>
              <w:rPr>
                <w:sz w:val="12"/>
              </w:rPr>
            </w:pPr>
            <w:r>
              <w:rPr>
                <w:color w:val="231F20"/>
                <w:sz w:val="12"/>
              </w:rPr>
              <w:t>16 GBPS TAXA DE ENCAMINHAMENTO DE</w:t>
            </w:r>
            <w:r>
              <w:rPr>
                <w:color w:val="231F20"/>
                <w:spacing w:val="40"/>
                <w:sz w:val="12"/>
              </w:rPr>
              <w:t xml:space="preserve"> </w:t>
            </w:r>
            <w:r>
              <w:rPr>
                <w:color w:val="231F20"/>
                <w:sz w:val="12"/>
              </w:rPr>
              <w:t>PACOTES: 11.9 MBPS TABELA DE</w:t>
            </w:r>
            <w:r>
              <w:rPr>
                <w:color w:val="231F20"/>
                <w:spacing w:val="40"/>
                <w:sz w:val="12"/>
              </w:rPr>
              <w:t xml:space="preserve"> </w:t>
            </w:r>
            <w:r>
              <w:rPr>
                <w:color w:val="231F20"/>
                <w:sz w:val="12"/>
              </w:rPr>
              <w:t>ENDERECOS MAC: 4K MEMORIA DE BUFFER</w:t>
            </w:r>
            <w:r>
              <w:rPr>
                <w:color w:val="231F20"/>
                <w:spacing w:val="40"/>
                <w:sz w:val="12"/>
              </w:rPr>
              <w:t xml:space="preserve"> </w:t>
            </w:r>
            <w:r>
              <w:rPr>
                <w:color w:val="231F20"/>
                <w:sz w:val="12"/>
              </w:rPr>
              <w:t>DE PACOTE: 1.5 MB JUMBO FRAME: 16 KB</w:t>
            </w:r>
            <w:r>
              <w:rPr>
                <w:color w:val="231F20"/>
                <w:spacing w:val="40"/>
                <w:sz w:val="12"/>
              </w:rPr>
              <w:t xml:space="preserve"> </w:t>
            </w:r>
            <w:r>
              <w:rPr>
                <w:color w:val="231F20"/>
                <w:sz w:val="12"/>
              </w:rPr>
              <w:t>TECNOLOGIA TIPO TP-LINK GREEN 802.3X</w:t>
            </w:r>
            <w:r>
              <w:rPr>
                <w:color w:val="231F20"/>
                <w:spacing w:val="40"/>
                <w:sz w:val="12"/>
              </w:rPr>
              <w:t xml:space="preserve"> </w:t>
            </w:r>
            <w:r>
              <w:rPr>
                <w:color w:val="231F20"/>
                <w:sz w:val="12"/>
              </w:rPr>
              <w:t>FLOW CONTROL BACK PRESSURE METODO</w:t>
            </w:r>
            <w:r>
              <w:rPr>
                <w:color w:val="231F20"/>
                <w:spacing w:val="40"/>
                <w:sz w:val="12"/>
              </w:rPr>
              <w:t xml:space="preserve"> </w:t>
            </w:r>
            <w:r>
              <w:rPr>
                <w:color w:val="231F20"/>
                <w:sz w:val="12"/>
              </w:rPr>
              <w:t>DE TRANSFERENCIA: ARMAZENA E</w:t>
            </w:r>
            <w:r>
              <w:rPr>
                <w:color w:val="231F20"/>
                <w:spacing w:val="40"/>
                <w:sz w:val="12"/>
              </w:rPr>
              <w:t xml:space="preserve"> </w:t>
            </w:r>
            <w:r>
              <w:rPr>
                <w:color w:val="231F20"/>
                <w:sz w:val="12"/>
              </w:rPr>
              <w:t>ENCAMINHA.</w:t>
            </w:r>
            <w:r>
              <w:rPr>
                <w:color w:val="231F20"/>
                <w:spacing w:val="-7"/>
                <w:sz w:val="12"/>
              </w:rPr>
              <w:t xml:space="preserve"> </w:t>
            </w:r>
            <w:r>
              <w:rPr>
                <w:color w:val="231F20"/>
                <w:sz w:val="12"/>
              </w:rPr>
              <w:t>IGUAL</w:t>
            </w:r>
            <w:r>
              <w:rPr>
                <w:color w:val="231F20"/>
                <w:spacing w:val="-7"/>
                <w:sz w:val="12"/>
              </w:rPr>
              <w:t xml:space="preserve"> </w:t>
            </w:r>
            <w:r>
              <w:rPr>
                <w:color w:val="231F20"/>
                <w:sz w:val="12"/>
              </w:rPr>
              <w:t>OU</w:t>
            </w:r>
            <w:r>
              <w:rPr>
                <w:color w:val="231F20"/>
                <w:spacing w:val="-7"/>
                <w:sz w:val="12"/>
              </w:rPr>
              <w:t xml:space="preserve"> </w:t>
            </w:r>
            <w:r>
              <w:rPr>
                <w:color w:val="231F20"/>
                <w:sz w:val="12"/>
              </w:rPr>
              <w:t>SIMILAR</w:t>
            </w:r>
            <w:r>
              <w:rPr>
                <w:color w:val="231F20"/>
                <w:spacing w:val="-7"/>
                <w:sz w:val="12"/>
              </w:rPr>
              <w:t xml:space="preserve"> </w:t>
            </w:r>
            <w:r>
              <w:rPr>
                <w:color w:val="231F20"/>
                <w:sz w:val="12"/>
              </w:rPr>
              <w:t>A</w:t>
            </w:r>
            <w:r>
              <w:rPr>
                <w:color w:val="231F20"/>
                <w:spacing w:val="-7"/>
                <w:sz w:val="12"/>
              </w:rPr>
              <w:t xml:space="preserve"> </w:t>
            </w:r>
            <w:r>
              <w:rPr>
                <w:color w:val="231F20"/>
                <w:sz w:val="12"/>
              </w:rPr>
              <w:t>MARCA</w:t>
            </w:r>
            <w:r>
              <w:rPr>
                <w:color w:val="231F20"/>
                <w:spacing w:val="-7"/>
                <w:sz w:val="12"/>
              </w:rPr>
              <w:t xml:space="preserve"> </w:t>
            </w:r>
            <w:r>
              <w:rPr>
                <w:color w:val="231F20"/>
                <w:sz w:val="12"/>
              </w:rPr>
              <w:t>TP-</w:t>
            </w:r>
            <w:r>
              <w:rPr>
                <w:color w:val="231F20"/>
                <w:spacing w:val="40"/>
                <w:sz w:val="12"/>
              </w:rPr>
              <w:t xml:space="preserve"> </w:t>
            </w:r>
            <w:r>
              <w:rPr>
                <w:color w:val="231F20"/>
                <w:spacing w:val="-2"/>
                <w:sz w:val="12"/>
              </w:rPr>
              <w:t>LINK.</w:t>
            </w:r>
          </w:p>
        </w:tc>
        <w:tc>
          <w:tcPr>
            <w:tcW w:w="1076" w:type="dxa"/>
            <w:tcBorders>
              <w:bottom w:val="single" w:sz="12" w:space="0" w:color="231F20"/>
            </w:tcBorders>
          </w:tcPr>
          <w:p w:rsidR="0090191E" w:rsidRDefault="0090191E" w:rsidP="00F74100">
            <w:pPr>
              <w:pStyle w:val="TableParagraph"/>
              <w:spacing w:before="54"/>
              <w:ind w:left="57"/>
              <w:rPr>
                <w:sz w:val="12"/>
              </w:rPr>
            </w:pPr>
            <w:r>
              <w:rPr>
                <w:color w:val="231F20"/>
                <w:sz w:val="12"/>
              </w:rPr>
              <w:t>MS</w:t>
            </w:r>
            <w:r>
              <w:rPr>
                <w:color w:val="231F20"/>
                <w:spacing w:val="-1"/>
                <w:sz w:val="12"/>
              </w:rPr>
              <w:t xml:space="preserve"> </w:t>
            </w:r>
            <w:r>
              <w:rPr>
                <w:color w:val="231F20"/>
                <w:spacing w:val="-4"/>
                <w:sz w:val="12"/>
              </w:rPr>
              <w:t>108G</w:t>
            </w:r>
          </w:p>
        </w:tc>
        <w:tc>
          <w:tcPr>
            <w:tcW w:w="1582" w:type="dxa"/>
            <w:tcBorders>
              <w:bottom w:val="single" w:sz="12" w:space="0" w:color="231F20"/>
            </w:tcBorders>
          </w:tcPr>
          <w:p w:rsidR="0090191E" w:rsidRDefault="0090191E" w:rsidP="00F74100">
            <w:pPr>
              <w:pStyle w:val="TableParagraph"/>
              <w:spacing w:before="54"/>
              <w:ind w:left="399"/>
              <w:rPr>
                <w:sz w:val="12"/>
              </w:rPr>
            </w:pPr>
            <w:r>
              <w:rPr>
                <w:color w:val="231F20"/>
                <w:spacing w:val="-2"/>
                <w:sz w:val="12"/>
              </w:rPr>
              <w:t>MERCUSYS</w:t>
            </w:r>
          </w:p>
        </w:tc>
        <w:tc>
          <w:tcPr>
            <w:tcW w:w="3577" w:type="dxa"/>
            <w:tcBorders>
              <w:bottom w:val="single" w:sz="12" w:space="0" w:color="231F20"/>
            </w:tcBorders>
          </w:tcPr>
          <w:p w:rsidR="0090191E" w:rsidRDefault="0090191E" w:rsidP="00F74100">
            <w:pPr>
              <w:pStyle w:val="TableParagraph"/>
              <w:tabs>
                <w:tab w:val="left" w:pos="719"/>
                <w:tab w:val="left" w:pos="1853"/>
              </w:tabs>
              <w:spacing w:before="54"/>
              <w:ind w:right="52"/>
              <w:jc w:val="right"/>
              <w:rPr>
                <w:sz w:val="12"/>
              </w:rPr>
            </w:pPr>
            <w:proofErr w:type="gramStart"/>
            <w:r>
              <w:rPr>
                <w:color w:val="231F20"/>
                <w:sz w:val="12"/>
              </w:rPr>
              <w:t>2</w:t>
            </w:r>
            <w:proofErr w:type="gramEnd"/>
            <w:r>
              <w:rPr>
                <w:color w:val="231F20"/>
                <w:sz w:val="12"/>
              </w:rPr>
              <w:t xml:space="preserve"> </w:t>
            </w:r>
            <w:r>
              <w:rPr>
                <w:color w:val="231F20"/>
                <w:spacing w:val="-5"/>
                <w:sz w:val="12"/>
              </w:rPr>
              <w:t>UN</w:t>
            </w:r>
            <w:r>
              <w:rPr>
                <w:color w:val="231F20"/>
                <w:sz w:val="12"/>
              </w:rPr>
              <w:tab/>
              <w:t>R$</w:t>
            </w:r>
            <w:r>
              <w:rPr>
                <w:color w:val="231F20"/>
                <w:spacing w:val="-1"/>
                <w:sz w:val="12"/>
              </w:rPr>
              <w:t xml:space="preserve"> </w:t>
            </w:r>
            <w:r>
              <w:rPr>
                <w:color w:val="231F20"/>
                <w:spacing w:val="-2"/>
                <w:sz w:val="12"/>
              </w:rPr>
              <w:t>162,9900</w:t>
            </w:r>
            <w:r>
              <w:rPr>
                <w:color w:val="231F20"/>
                <w:sz w:val="12"/>
              </w:rPr>
              <w:tab/>
              <w:t>R$</w:t>
            </w:r>
            <w:r>
              <w:rPr>
                <w:color w:val="231F20"/>
                <w:spacing w:val="-1"/>
                <w:sz w:val="12"/>
              </w:rPr>
              <w:t xml:space="preserve"> </w:t>
            </w:r>
            <w:r>
              <w:rPr>
                <w:color w:val="231F20"/>
                <w:spacing w:val="-2"/>
                <w:sz w:val="12"/>
              </w:rPr>
              <w:t>325,9800</w:t>
            </w:r>
          </w:p>
        </w:tc>
      </w:tr>
      <w:tr w:rsidR="0090191E" w:rsidTr="0090191E">
        <w:trPr>
          <w:trHeight w:val="213"/>
          <w:jc w:val="center"/>
        </w:trPr>
        <w:tc>
          <w:tcPr>
            <w:tcW w:w="539" w:type="dxa"/>
            <w:tcBorders>
              <w:top w:val="single" w:sz="12" w:space="0" w:color="231F20"/>
              <w:bottom w:val="single" w:sz="12" w:space="0" w:color="231F20"/>
            </w:tcBorders>
          </w:tcPr>
          <w:p w:rsidR="0090191E" w:rsidRDefault="0090191E" w:rsidP="00F74100">
            <w:pPr>
              <w:pStyle w:val="TableParagraph"/>
              <w:rPr>
                <w:rFonts w:ascii="Times New Roman"/>
                <w:sz w:val="12"/>
              </w:rPr>
            </w:pPr>
          </w:p>
        </w:tc>
        <w:tc>
          <w:tcPr>
            <w:tcW w:w="2863" w:type="dxa"/>
            <w:tcBorders>
              <w:top w:val="single" w:sz="12" w:space="0" w:color="231F20"/>
              <w:bottom w:val="single" w:sz="12" w:space="0" w:color="231F20"/>
            </w:tcBorders>
          </w:tcPr>
          <w:p w:rsidR="0090191E" w:rsidRDefault="0090191E" w:rsidP="00F74100">
            <w:pPr>
              <w:pStyle w:val="TableParagraph"/>
              <w:rPr>
                <w:rFonts w:ascii="Times New Roman"/>
                <w:sz w:val="12"/>
              </w:rPr>
            </w:pPr>
          </w:p>
        </w:tc>
        <w:tc>
          <w:tcPr>
            <w:tcW w:w="1076" w:type="dxa"/>
            <w:tcBorders>
              <w:top w:val="single" w:sz="12" w:space="0" w:color="231F20"/>
              <w:bottom w:val="single" w:sz="12" w:space="0" w:color="231F20"/>
            </w:tcBorders>
          </w:tcPr>
          <w:p w:rsidR="0090191E" w:rsidRDefault="0090191E" w:rsidP="00F74100">
            <w:pPr>
              <w:pStyle w:val="TableParagraph"/>
              <w:rPr>
                <w:rFonts w:ascii="Times New Roman"/>
                <w:sz w:val="12"/>
              </w:rPr>
            </w:pPr>
          </w:p>
        </w:tc>
        <w:tc>
          <w:tcPr>
            <w:tcW w:w="1582" w:type="dxa"/>
            <w:tcBorders>
              <w:top w:val="single" w:sz="12" w:space="0" w:color="231F20"/>
              <w:bottom w:val="single" w:sz="12" w:space="0" w:color="231F20"/>
            </w:tcBorders>
          </w:tcPr>
          <w:p w:rsidR="0090191E" w:rsidRDefault="0090191E" w:rsidP="00F74100">
            <w:pPr>
              <w:pStyle w:val="TableParagraph"/>
              <w:rPr>
                <w:rFonts w:ascii="Times New Roman"/>
                <w:sz w:val="12"/>
              </w:rPr>
            </w:pPr>
          </w:p>
        </w:tc>
        <w:tc>
          <w:tcPr>
            <w:tcW w:w="3577" w:type="dxa"/>
            <w:tcBorders>
              <w:top w:val="single" w:sz="12" w:space="0" w:color="231F20"/>
              <w:bottom w:val="single" w:sz="12" w:space="0" w:color="231F20"/>
            </w:tcBorders>
          </w:tcPr>
          <w:p w:rsidR="0090191E" w:rsidRDefault="0090191E" w:rsidP="00F74100">
            <w:pPr>
              <w:pStyle w:val="TableParagraph"/>
              <w:tabs>
                <w:tab w:val="left" w:pos="2275"/>
              </w:tabs>
              <w:ind w:left="212"/>
              <w:rPr>
                <w:sz w:val="16"/>
              </w:rPr>
            </w:pPr>
            <w:r>
              <w:rPr>
                <w:color w:val="231F20"/>
                <w:sz w:val="16"/>
              </w:rPr>
              <w:t>TOTAL</w:t>
            </w:r>
            <w:r>
              <w:rPr>
                <w:color w:val="231F20"/>
                <w:spacing w:val="-3"/>
                <w:sz w:val="16"/>
              </w:rPr>
              <w:t xml:space="preserve"> </w:t>
            </w:r>
            <w:r>
              <w:rPr>
                <w:color w:val="231F20"/>
                <w:sz w:val="16"/>
              </w:rPr>
              <w:t>DO</w:t>
            </w:r>
            <w:r>
              <w:rPr>
                <w:color w:val="231F20"/>
                <w:spacing w:val="-2"/>
                <w:sz w:val="16"/>
              </w:rPr>
              <w:t xml:space="preserve"> VENCEDOR</w:t>
            </w:r>
            <w:r>
              <w:rPr>
                <w:color w:val="231F20"/>
                <w:sz w:val="16"/>
              </w:rPr>
              <w:tab/>
              <w:t>R$</w:t>
            </w:r>
            <w:r>
              <w:rPr>
                <w:color w:val="231F20"/>
                <w:spacing w:val="-1"/>
                <w:sz w:val="16"/>
              </w:rPr>
              <w:t xml:space="preserve"> </w:t>
            </w:r>
            <w:r>
              <w:rPr>
                <w:color w:val="231F20"/>
                <w:spacing w:val="-2"/>
                <w:sz w:val="16"/>
              </w:rPr>
              <w:t>2.610,9700</w:t>
            </w:r>
          </w:p>
        </w:tc>
      </w:tr>
    </w:tbl>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1.3 - Integram este Contrato, como se nele estivessem transcritos, o Termo de referência, o aviso de dispensa, Pro</w:t>
      </w:r>
      <w:r w:rsidR="008F6E83" w:rsidRPr="00E56186">
        <w:rPr>
          <w:rFonts w:ascii="Times New Roman" w:hAnsi="Times New Roman" w:cs="Times New Roman"/>
        </w:rPr>
        <w:t>posta Comercial apresentada pela</w:t>
      </w:r>
      <w:r w:rsidRPr="00E56186">
        <w:rPr>
          <w:rFonts w:ascii="Times New Roman" w:hAnsi="Times New Roman" w:cs="Times New Roman"/>
        </w:rPr>
        <w:t xml:space="preserve"> CONTRATADA, eventuais anexos dos documentos supracitados, ambos constantes deste Processo de dispensa de licitação.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2</w:t>
      </w:r>
      <w:proofErr w:type="gramEnd"/>
      <w:r w:rsidRPr="00E56186">
        <w:rPr>
          <w:rFonts w:ascii="Times New Roman" w:hAnsi="Times New Roman" w:cs="Times New Roman"/>
        </w:rPr>
        <w:t xml:space="preserve"> - CLÁUSULA SEGUNDA - VIGÊNCIA E PRORROGAÇÃO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2.1 - O prazo de vigência da contratação será de 60(sessenta) dias, contados da data de assinatura do contrato, na forma do art. 105 da Lei 14.133/21.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3</w:t>
      </w:r>
      <w:proofErr w:type="gramEnd"/>
      <w:r w:rsidRPr="00E56186">
        <w:rPr>
          <w:rFonts w:ascii="Times New Roman" w:hAnsi="Times New Roman" w:cs="Times New Roman"/>
        </w:rPr>
        <w:t xml:space="preserve"> - CLÁUSULA TERCEIRA - MODELOS DE EXECUÇÃO E GESTÃO CONTRATUAIS (art. 92, IV, VII e XVIII)</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3.1 - O regime de execução contratual, os modelos de gestão e de execução, assim como os prazos e condições de conclusão, </w:t>
      </w:r>
      <w:proofErr w:type="gramStart"/>
      <w:r w:rsidRPr="00E56186">
        <w:rPr>
          <w:rFonts w:ascii="Times New Roman" w:hAnsi="Times New Roman" w:cs="Times New Roman"/>
        </w:rPr>
        <w:t>entrega</w:t>
      </w:r>
      <w:proofErr w:type="gramEnd"/>
      <w:r w:rsidRPr="00E56186">
        <w:rPr>
          <w:rFonts w:ascii="Times New Roman" w:hAnsi="Times New Roman" w:cs="Times New Roman"/>
        </w:rPr>
        <w:t xml:space="preserve">, observação e recebimento do objeto constam no Termo de Referência, anexo a este Contrato. </w:t>
      </w:r>
    </w:p>
    <w:p w:rsidR="00C452DA" w:rsidRPr="00E56186" w:rsidRDefault="00C452DA" w:rsidP="00C452DA">
      <w:pPr>
        <w:numPr>
          <w:ilvl w:val="0"/>
          <w:numId w:val="1"/>
        </w:numPr>
        <w:pBdr>
          <w:top w:val="single" w:sz="4" w:space="1" w:color="auto"/>
          <w:bottom w:val="single" w:sz="4" w:space="1" w:color="auto"/>
        </w:pBdr>
        <w:spacing w:after="253" w:line="259" w:lineRule="auto"/>
        <w:ind w:hanging="240"/>
        <w:jc w:val="both"/>
        <w:rPr>
          <w:rFonts w:ascii="Times New Roman" w:hAnsi="Times New Roman" w:cs="Times New Roman"/>
        </w:rPr>
      </w:pPr>
      <w:r w:rsidRPr="00E56186">
        <w:rPr>
          <w:rFonts w:ascii="Times New Roman" w:hAnsi="Times New Roman" w:cs="Times New Roman"/>
          <w:b/>
        </w:rPr>
        <w:t>- CLÁUSULA QUARTA - SUBCONTRATAÇÃO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b/>
        </w:rPr>
        <w:t>4.1 -</w:t>
      </w:r>
      <w:r w:rsidRPr="00E56186">
        <w:rPr>
          <w:rFonts w:ascii="Times New Roman" w:hAnsi="Times New Roman" w:cs="Times New Roman"/>
        </w:rPr>
        <w:t xml:space="preserve"> Não será admitida a subcontratação do objeto contratual.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5</w:t>
      </w:r>
      <w:proofErr w:type="gramEnd"/>
      <w:r w:rsidRPr="00E56186">
        <w:rPr>
          <w:rFonts w:ascii="Times New Roman" w:hAnsi="Times New Roman" w:cs="Times New Roman"/>
        </w:rPr>
        <w:t xml:space="preserve"> - CLÁUSULA QUINTA - PREÇO</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5.1 - O valor total da contratação será de </w:t>
      </w:r>
      <w:r w:rsidR="0090191E" w:rsidRPr="0090191E">
        <w:rPr>
          <w:rFonts w:ascii="Times New Roman" w:hAnsi="Times New Roman" w:cs="Times New Roman"/>
          <w:b/>
        </w:rPr>
        <w:t>R$ 2.610,9700</w:t>
      </w:r>
      <w:r w:rsidRPr="00E56186">
        <w:rPr>
          <w:rFonts w:ascii="Times New Roman" w:hAnsi="Times New Roman" w:cs="Times New Roman"/>
          <w:b/>
        </w:rPr>
        <w:t xml:space="preserve">, </w:t>
      </w:r>
      <w:r w:rsidRPr="00E56186">
        <w:rPr>
          <w:rFonts w:ascii="Times New Roman" w:hAnsi="Times New Roman" w:cs="Times New Roman"/>
        </w:rPr>
        <w:t xml:space="preserve">conforme quadro acima.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6</w:t>
      </w:r>
      <w:proofErr w:type="gramEnd"/>
      <w:r w:rsidRPr="00E56186">
        <w:rPr>
          <w:rFonts w:ascii="Times New Roman" w:hAnsi="Times New Roman" w:cs="Times New Roman"/>
        </w:rPr>
        <w:t xml:space="preserve"> - CLÁUSULA SEXTA - PAGAMENTO (art. 92, V e VI)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6.1 - O prazo para pagamento ao contratado e demais condições a ele referentes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7</w:t>
      </w:r>
      <w:proofErr w:type="gramEnd"/>
      <w:r w:rsidRPr="00E56186">
        <w:rPr>
          <w:rFonts w:ascii="Times New Roman" w:hAnsi="Times New Roman" w:cs="Times New Roman"/>
        </w:rPr>
        <w:t xml:space="preserve"> - CLÁUSULA SÉTIMA - REAJUSTE (art. 92, V) </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7.1 - O reajuste e demais condições a ele referentes encontram-se definidos no Termo de Referência, anexo a este Contrato.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8</w:t>
      </w:r>
      <w:proofErr w:type="gramEnd"/>
      <w:r w:rsidRPr="00E56186">
        <w:rPr>
          <w:rFonts w:ascii="Times New Roman" w:hAnsi="Times New Roman" w:cs="Times New Roman"/>
        </w:rPr>
        <w:t xml:space="preserve"> - CLÁUSULA OITAVA - OBRIGAÇÕES DO CONTRATANTE (art. 92, X, XI e XIV)</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8.1 - São obrigações do Contratante:</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8.1.2 - Exigir o cumprimento de todas as obrigações assumidas pelo Contratado, de acordo com o contrato e seus anexos;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8.1.3 - Receber os serviços no prazo e condições estabelecidas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8.1.4 - Notificar o Contratado, por escrito, sobre vícios, defeitos ou incorreções verificadas no objeto fornecido, para que seja por ele substituído, reparado ou corrigido, no total ou em parte, às suas expensas;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8.1.5 - Acompanhar e fiscalizar a execução do contrato e o cumprimento das obrigações pelo Contratado;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8.1.6 - Comunicar a empresa para emissão de Nota Fiscal no que </w:t>
      </w:r>
      <w:proofErr w:type="spellStart"/>
      <w:r w:rsidRPr="00E56186">
        <w:rPr>
          <w:rFonts w:ascii="Times New Roman" w:hAnsi="Times New Roman" w:cs="Times New Roman"/>
        </w:rPr>
        <w:t>pertine</w:t>
      </w:r>
      <w:proofErr w:type="spellEnd"/>
      <w:r w:rsidRPr="00E56186">
        <w:rPr>
          <w:rFonts w:ascii="Times New Roman" w:hAnsi="Times New Roman" w:cs="Times New Roman"/>
        </w:rPr>
        <w:t xml:space="preserve"> à parcela incontroversa da execução do objeto, para efeito de liquidação e pagamento, quando houver controvérsia sobre a execução do objeto, quanto à dimensão, qualidade e quantidade, conforme o art. 143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8.1.7 - Efetuar o pagamento ao Contratado do valor correspondente à execução do objeto, no prazo, forma e condições estabelecidos no presente Contrato e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8.1.8 - Aplicar ao Contratado as sanções previstas na lei e neste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8.1.9.1 - A Administração terá o prazo de até 30 dias, a contar da data do protocolo do requerimento para decidir, admitida a prorrogação motivada, por igual período.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8.1.10 - Responder eventuais pedidos de reestabelecimento do equilíbrio econômico-financeiro feitos pelo contratado no prazo máximo de 30 dias, a contar da data do protocolo.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9</w:t>
      </w:r>
      <w:proofErr w:type="gramEnd"/>
      <w:r w:rsidRPr="00E56186">
        <w:rPr>
          <w:rFonts w:ascii="Times New Roman" w:hAnsi="Times New Roman" w:cs="Times New Roman"/>
        </w:rPr>
        <w:t xml:space="preserve"> - CLÁUSULA NONA - OBRIGAÇÕES DO CONTRATADO (art. 92, XIV, XVI e XVII)</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9.1 - São obrigações do Contratado: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9.1.2</w:t>
      </w:r>
      <w:proofErr w:type="gramStart"/>
      <w:r w:rsidRPr="00E56186">
        <w:rPr>
          <w:rFonts w:ascii="Times New Roman" w:hAnsi="Times New Roman" w:cs="Times New Roman"/>
        </w:rPr>
        <w:t xml:space="preserve">  </w:t>
      </w:r>
      <w:proofErr w:type="gramEnd"/>
      <w:r w:rsidRPr="00E56186">
        <w:rPr>
          <w:rFonts w:ascii="Times New Roman" w:hAnsi="Times New Roman" w:cs="Times New Roman"/>
        </w:rPr>
        <w:t>- Responsabilizar-se pelos vícios e danos decorrentes do objeto, de acordo com o Código de Defesa do Consumidor (</w:t>
      </w:r>
      <w:hyperlink r:id="rId9">
        <w:r w:rsidRPr="00E56186">
          <w:rPr>
            <w:rFonts w:ascii="Times New Roman" w:hAnsi="Times New Roman" w:cs="Times New Roman"/>
          </w:rPr>
          <w:t>Lei nº 8.078, de 1990</w:t>
        </w:r>
      </w:hyperlink>
      <w:hyperlink r:id="rId10">
        <w:r w:rsidRPr="00E56186">
          <w:rPr>
            <w:rFonts w:ascii="Times New Roman" w:hAnsi="Times New Roman" w:cs="Times New Roman"/>
          </w:rPr>
          <w:t>)</w:t>
        </w:r>
      </w:hyperlink>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9.1.3 - Comunicar ao contratante, no prazo máximo de 24 (vinte e quatro) horas que antecede a data da entrega, os motivos que impossibilitem o cumprimento do prazo previsto, com a devida comprovação;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9.1.4 - Atender às determinações regulares emitidas pelo fiscal ou gestor do contrato ou autoridade superior (</w:t>
      </w:r>
      <w:hyperlink r:id="rId11" w:anchor="art137">
        <w:r w:rsidRPr="00E56186">
          <w:rPr>
            <w:rFonts w:ascii="Times New Roman" w:hAnsi="Times New Roman" w:cs="Times New Roman"/>
          </w:rPr>
          <w:t>art. 137, II, da Lei n.º 14.133, de 2021)</w:t>
        </w:r>
      </w:hyperlink>
      <w:r w:rsidRPr="00E56186">
        <w:rPr>
          <w:rFonts w:ascii="Times New Roman" w:hAnsi="Times New Roman" w:cs="Times New Roman"/>
        </w:rPr>
        <w:t xml:space="preserve"> e prestar todo esclarecimento ou informação por eles solicitados;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9.1.7 - Quando não for possível a verificação da regularidade no Sistema de Cadastro utilizado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o contratado deverá entregar ao setor responsável pela fiscalização do contrato, até o dia trinta do mês seguinte ao do fornecimento, os seguintes documentos: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prova</w:t>
      </w:r>
      <w:proofErr w:type="gramEnd"/>
      <w:r w:rsidRPr="00E56186">
        <w:rPr>
          <w:rFonts w:ascii="Times New Roman" w:hAnsi="Times New Roman" w:cs="Times New Roman"/>
        </w:rPr>
        <w:t xml:space="preserve"> de regularidade relativa à Seguridade Social;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certidão</w:t>
      </w:r>
      <w:proofErr w:type="gramEnd"/>
      <w:r w:rsidRPr="00E56186">
        <w:rPr>
          <w:rFonts w:ascii="Times New Roman" w:hAnsi="Times New Roman" w:cs="Times New Roman"/>
        </w:rPr>
        <w:t xml:space="preserve"> conjunta relativa aos tributos federais e à Dívida Ativa da União;  </w:t>
      </w:r>
    </w:p>
    <w:p w:rsidR="00C452DA" w:rsidRPr="00E56186" w:rsidRDefault="00C452DA" w:rsidP="00C452DA">
      <w:pPr>
        <w:numPr>
          <w:ilvl w:val="0"/>
          <w:numId w:val="2"/>
        </w:numPr>
        <w:spacing w:after="6" w:line="298" w:lineRule="auto"/>
        <w:ind w:hanging="343"/>
        <w:jc w:val="both"/>
        <w:rPr>
          <w:rFonts w:ascii="Times New Roman" w:hAnsi="Times New Roman" w:cs="Times New Roman"/>
        </w:rPr>
      </w:pPr>
      <w:proofErr w:type="gramStart"/>
      <w:r w:rsidRPr="00E56186">
        <w:rPr>
          <w:rFonts w:ascii="Times New Roman" w:hAnsi="Times New Roman" w:cs="Times New Roman"/>
        </w:rPr>
        <w:t>certidões</w:t>
      </w:r>
      <w:proofErr w:type="gramEnd"/>
      <w:r w:rsidRPr="00E56186">
        <w:rPr>
          <w:rFonts w:ascii="Times New Roman" w:hAnsi="Times New Roman" w:cs="Times New Roman"/>
        </w:rPr>
        <w:t xml:space="preserve"> que comprovem a regularidade perante a Fazenda Municipal ou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Distrital do domicílio ou sede do contratado;</w:t>
      </w:r>
      <w:proofErr w:type="gramStart"/>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End"/>
      <w:r w:rsidRPr="00E56186">
        <w:rPr>
          <w:rFonts w:ascii="Times New Roman" w:hAnsi="Times New Roman" w:cs="Times New Roman"/>
        </w:rPr>
        <w:t xml:space="preserve">Certidão de Regularidade do FGTS - CRF; </w:t>
      </w:r>
      <w:proofErr w:type="gramStart"/>
      <w:r w:rsidRPr="00E56186">
        <w:rPr>
          <w:rFonts w:ascii="Times New Roman" w:hAnsi="Times New Roman" w:cs="Times New Roman"/>
        </w:rPr>
        <w:t>e</w:t>
      </w:r>
      <w:proofErr w:type="gramEnd"/>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r w:rsidRPr="00E56186">
        <w:rPr>
          <w:rFonts w:ascii="Times New Roman" w:hAnsi="Times New Roman" w:cs="Times New Roman"/>
        </w:rPr>
        <w:t xml:space="preserve">Certidão Negativa de Débitos Trabalhistas - CNDT;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9.1.9 - Comunicar ao Fiscal do contrato, no prazo de 24 (vinte e quatro) horas, qualquer ocorrência anormal ou acidente que se verifique no local da execução do objeto contratual.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9.1.10 - Paralisar, por determinação do contratante, qualquer atividade que não esteja sendo executada de acordo com a boa técnica ou que ponha em risco a segurança de pessoas ou bens de terceiros.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9.1.11 - Manter durante toda a vigência do contrato, em compatibilidade com as obrigações assumidas, todas as condições exigidas para habilitação na licitação;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9.1.13 - Comprovar a reserva de cargos a que se refere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cláusula acima, no prazo fixado pelo fiscal do contrato, com a indicação dos empregados que preencheram as referidas vagas (art. 116, parágrafo único,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9.1.14 - Guardar sigilo sobre todas as informações obtidas em decorrência do cumprimento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9.1.16 - Cumprir, além dos postulados legais vigentes de âmbito federal, estadual ou municipal, as normas de segurança </w:t>
      </w:r>
      <w:proofErr w:type="gramStart"/>
      <w:r w:rsidRPr="00E56186">
        <w:rPr>
          <w:rFonts w:ascii="Times New Roman" w:hAnsi="Times New Roman" w:cs="Times New Roman"/>
        </w:rPr>
        <w:t>do(</w:t>
      </w:r>
      <w:proofErr w:type="gramEnd"/>
      <w:r w:rsidRPr="00E56186">
        <w:rPr>
          <w:rFonts w:ascii="Times New Roman" w:hAnsi="Times New Roman" w:cs="Times New Roman"/>
        </w:rPr>
        <w:t xml:space="preserve">a) Município de </w:t>
      </w:r>
      <w:proofErr w:type="spellStart"/>
      <w:r w:rsidRPr="00E56186">
        <w:rPr>
          <w:rFonts w:ascii="Times New Roman" w:hAnsi="Times New Roman" w:cs="Times New Roman"/>
        </w:rPr>
        <w:t>Janauba</w:t>
      </w:r>
      <w:proofErr w:type="spellEnd"/>
      <w:r w:rsidRPr="00E56186">
        <w:rPr>
          <w:rFonts w:ascii="Times New Roman" w:hAnsi="Times New Roman" w:cs="Times New Roman"/>
        </w:rPr>
        <w:t xml:space="preserve">-MG. </w:t>
      </w:r>
    </w:p>
    <w:p w:rsidR="00C452DA" w:rsidRPr="00E56186" w:rsidRDefault="00C452DA" w:rsidP="00C452DA">
      <w:pPr>
        <w:pStyle w:val="Ttulo1"/>
        <w:pBdr>
          <w:top w:val="single" w:sz="4" w:space="1" w:color="auto"/>
          <w:bottom w:val="single" w:sz="4" w:space="1" w:color="auto"/>
        </w:pBdr>
        <w:spacing w:after="0"/>
        <w:ind w:left="-5" w:right="0"/>
        <w:rPr>
          <w:rFonts w:ascii="Times New Roman" w:hAnsi="Times New Roman" w:cs="Times New Roman"/>
        </w:rPr>
      </w:pPr>
      <w:r w:rsidRPr="00E56186">
        <w:rPr>
          <w:rFonts w:ascii="Times New Roman" w:hAnsi="Times New Roman" w:cs="Times New Roman"/>
        </w:rPr>
        <w:t>10 - CLÁUSULA DÉCIMA- OBRIGAÇÕES PERTINENTES À LGPD</w:t>
      </w:r>
      <w:r w:rsidRPr="00E56186">
        <w:rPr>
          <w:rFonts w:ascii="Times New Roman" w:hAnsi="Times New Roman" w:cs="Times New Roman"/>
          <w:b w:val="0"/>
        </w:rPr>
        <w:t xml:space="preserv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10.1 - Orientar e treinar seus empregados sobre os deveres previstos na Lei nº 13.709, de 14 de agosto de 2018, adotando medidas eficazes para proteção de dados pessoais a que tenha acesso por força da execução deste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11 - CLÁUSULA DÉCIMA PRIMEIRA - </w:t>
      </w:r>
      <w:proofErr w:type="gramStart"/>
      <w:r w:rsidRPr="00E56186">
        <w:rPr>
          <w:rFonts w:ascii="Times New Roman" w:hAnsi="Times New Roman" w:cs="Times New Roman"/>
        </w:rPr>
        <w:t>GARANTIA</w:t>
      </w:r>
      <w:proofErr w:type="gramEnd"/>
      <w:r w:rsidRPr="00E56186">
        <w:rPr>
          <w:rFonts w:ascii="Times New Roman" w:hAnsi="Times New Roman" w:cs="Times New Roman"/>
        </w:rPr>
        <w:t xml:space="preserve"> DE EXECUÇÃO (art. 92, XII e XIII)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11.1 - As regras referentes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exigência de garantia contratual da execução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12 - CLÁUSULA DÉCIMA SEGUNDA - INFRAÇÕES E SANÇÕES ADMINISTRATIVAS (art. 92, </w:t>
      </w:r>
      <w:proofErr w:type="gramStart"/>
      <w:r w:rsidRPr="00E56186">
        <w:rPr>
          <w:rFonts w:ascii="Times New Roman" w:hAnsi="Times New Roman" w:cs="Times New Roman"/>
        </w:rPr>
        <w:t>XIV)</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12.1 -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que cometer qualquer das infrações previstas no art. 155 da Lei 14.133/2021, ficará sujeito às sanções previstas no art. 156, observado os procedimentos estabelecidos nos art. 157 e 158 da referida lei.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12.1.1 - As infrações e sanções administrativas encontram-se também definidas em tópico específico do Aviso de dispensa.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12.12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declara plena ciência das hipóteses de infrações e sanções previstas no Aviso de dispensa.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13 - CLÁUSULA DÉCIMA TERCEIRA - DA EXTINÇÃO CONTRATUAL (art. 92, </w:t>
      </w:r>
      <w:proofErr w:type="gramStart"/>
      <w:r w:rsidRPr="00E56186">
        <w:rPr>
          <w:rFonts w:ascii="Times New Roman" w:hAnsi="Times New Roman" w:cs="Times New Roman"/>
        </w:rPr>
        <w:t>XIX)</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13.1 - O contrato se extingue quando cumpridas as obrigações de ambas as partes, ainda que isso ocorra antes do prazo estipulado para tanto.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13.2. - Se as obrigações não forem cumpridas no prazo estipulado, a vigência ficará prorrogada até a conclusão do objeto, caso em que deverá a Administração providenciar a readequação do cronograma fixado para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13.3 - Quando a não conclusão do </w:t>
      </w:r>
      <w:proofErr w:type="gramStart"/>
      <w:r w:rsidRPr="00E56186">
        <w:rPr>
          <w:rFonts w:ascii="Times New Roman" w:hAnsi="Times New Roman" w:cs="Times New Roman"/>
        </w:rPr>
        <w:t>contrato referida no item anterior</w:t>
      </w:r>
      <w:proofErr w:type="gramEnd"/>
      <w:r w:rsidRPr="00E56186">
        <w:rPr>
          <w:rFonts w:ascii="Times New Roman" w:hAnsi="Times New Roman" w:cs="Times New Roman"/>
        </w:rPr>
        <w:t xml:space="preserve"> decorrer de culpa do contratado: </w:t>
      </w:r>
    </w:p>
    <w:p w:rsidR="00C452DA" w:rsidRPr="00E56186" w:rsidRDefault="00C452DA" w:rsidP="00C452DA">
      <w:pPr>
        <w:numPr>
          <w:ilvl w:val="0"/>
          <w:numId w:val="3"/>
        </w:numPr>
        <w:spacing w:after="214" w:line="298" w:lineRule="auto"/>
        <w:ind w:hanging="10"/>
        <w:rPr>
          <w:rFonts w:ascii="Times New Roman" w:hAnsi="Times New Roman" w:cs="Times New Roman"/>
        </w:rPr>
      </w:pPr>
      <w:proofErr w:type="gramStart"/>
      <w:r w:rsidRPr="00E56186">
        <w:rPr>
          <w:rFonts w:ascii="Times New Roman" w:hAnsi="Times New Roman" w:cs="Times New Roman"/>
        </w:rPr>
        <w:t>ficará</w:t>
      </w:r>
      <w:proofErr w:type="gramEnd"/>
      <w:r w:rsidRPr="00E56186">
        <w:rPr>
          <w:rFonts w:ascii="Times New Roman" w:hAnsi="Times New Roman" w:cs="Times New Roman"/>
        </w:rPr>
        <w:t xml:space="preserve"> ele constituído em mora, sendo-lhe aplicáveis as respectivas sanções administrativas; 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numPr>
          <w:ilvl w:val="0"/>
          <w:numId w:val="3"/>
        </w:numPr>
        <w:spacing w:after="211" w:line="299" w:lineRule="auto"/>
        <w:ind w:hanging="10"/>
        <w:rPr>
          <w:rFonts w:ascii="Times New Roman" w:hAnsi="Times New Roman" w:cs="Times New Roman"/>
        </w:rPr>
      </w:pPr>
      <w:proofErr w:type="gramStart"/>
      <w:r w:rsidRPr="00E56186">
        <w:rPr>
          <w:rFonts w:ascii="Times New Roman" w:hAnsi="Times New Roman" w:cs="Times New Roman"/>
        </w:rPr>
        <w:t>poderá</w:t>
      </w:r>
      <w:proofErr w:type="gramEnd"/>
      <w:r w:rsidRPr="00E56186">
        <w:rPr>
          <w:rFonts w:ascii="Times New Roman" w:hAnsi="Times New Roman" w:cs="Times New Roman"/>
        </w:rPr>
        <w:t xml:space="preserve"> a Administração optar pela extinção do contrato e, nesse caso, adotará as medidas admitidas em lei para a continuidade da execução contratual.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13.4 - O contrato pode ser extinto antes de cumpridas as obrigações nele estipuladas, </w:t>
      </w:r>
      <w:proofErr w:type="gramStart"/>
      <w:r w:rsidRPr="00E56186">
        <w:rPr>
          <w:rFonts w:ascii="Times New Roman" w:hAnsi="Times New Roman" w:cs="Times New Roman"/>
        </w:rPr>
        <w:t>ou antes</w:t>
      </w:r>
      <w:proofErr w:type="gramEnd"/>
      <w:r w:rsidRPr="00E56186">
        <w:rPr>
          <w:rFonts w:ascii="Times New Roman" w:hAnsi="Times New Roman" w:cs="Times New Roman"/>
        </w:rPr>
        <w:t xml:space="preserve"> do prazo nele fixado, por algum dos motivos previstos no artigo 137 da Lei nº 14.133/21, bem como amigavelmente, assegurados o contraditório e a ampla defesa.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Nesta hipótese, aplicam-se também os artigos 138 e 139 da mesma Lei.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A alteração social ou a modificação da finalidade ou da estrutura da empresa não ensejará a rescisão se não restringir sua capacidade de concluir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13.4.2.1 - Se a operação implicar mudança da pessoa jurídica contratada</w:t>
      </w:r>
      <w:proofErr w:type="gramStart"/>
      <w:r w:rsidRPr="00E56186">
        <w:rPr>
          <w:rFonts w:ascii="Times New Roman" w:hAnsi="Times New Roman" w:cs="Times New Roman"/>
        </w:rPr>
        <w:t>, deverá</w:t>
      </w:r>
      <w:proofErr w:type="gramEnd"/>
      <w:r w:rsidRPr="00E56186">
        <w:rPr>
          <w:rFonts w:ascii="Times New Roman" w:hAnsi="Times New Roman" w:cs="Times New Roman"/>
        </w:rPr>
        <w:t xml:space="preserve"> ser formalizado termo aditivo para alteração subjetiva.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13.5 - O termo de rescisão, sempre que possível, será precedido: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Balanço dos eventos contratuais já cumpridos ou parcialmente cumpridos;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Relação dos pagamentos já efetuados e ainda devidos;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Indenizações e multas.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 A extinção do contrato não configura óbice para o reconhecimento do desequilíbrio econômico-financeiro, hipótese em que será concedida indenização por meio de termo indenizatório (art. 131, caput,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14 - CLÁUSULA DÉCIMA QUARTA - DOTAÇÃO ORÇAMENTÁRIA (art. 92, VIII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14.1 - As despesas decorrentes desta contratação estão programadas em dotação orçamentária própria, prevista no orçamento da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o exercício atual, na classificação abaixo: </w:t>
      </w:r>
      <w:r w:rsidRPr="00E56186">
        <w:rPr>
          <w:rFonts w:ascii="Times New Roman" w:eastAsia="Verdana" w:hAnsi="Times New Roman" w:cs="Times New Roman"/>
        </w:rPr>
        <w:tab/>
        <w:t xml:space="preserve"> </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19.1.1 - 14.01.01.10.302.0011.5002. 44905100 – FICHA 1055</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19.1.2 - 10.302.0011.5002. 44905200. 1621000000- FICHA 1059</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15 - CLÁUSULA DÉCIMA QUINTA - DOS CASOS OMISSOS (art. 92, 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15.1 - Os casos omissos serão decididos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segundo as disposições contidas na Lei nº 14.133, de 2021, e demais normas federais aplicáveis e, </w:t>
      </w:r>
      <w:r w:rsidRPr="00E56186">
        <w:rPr>
          <w:rFonts w:ascii="Times New Roman" w:hAnsi="Times New Roman" w:cs="Times New Roman"/>
        </w:rPr>
        <w:lastRenderedPageBreak/>
        <w:t xml:space="preserve">subsidiariamente, segundo as disposições contidas na Lei nº 8.078, de 1990 - Código de Defesa do Consumidor - e normas e princípios gerais dos contratos.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16 - CLÁUSULA DÉCIMA SEXTA - ALTERAÇÕES</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16.1 - Eventuais alterações contratuais reger-se-ão pela disciplina dos </w:t>
      </w:r>
      <w:proofErr w:type="spellStart"/>
      <w:r w:rsidRPr="00E56186">
        <w:rPr>
          <w:rFonts w:ascii="Times New Roman" w:hAnsi="Times New Roman" w:cs="Times New Roman"/>
        </w:rPr>
        <w:t>arts</w:t>
      </w:r>
      <w:proofErr w:type="spellEnd"/>
      <w:r w:rsidRPr="00E56186">
        <w:rPr>
          <w:rFonts w:ascii="Times New Roman" w:hAnsi="Times New Roman" w:cs="Times New Roman"/>
        </w:rPr>
        <w:t xml:space="preserve">. 124 e seguintes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rsidR="00C452DA" w:rsidRPr="00E56186" w:rsidRDefault="00C452DA" w:rsidP="00C452DA">
      <w:pPr>
        <w:spacing w:after="1"/>
        <w:ind w:left="-5"/>
        <w:rPr>
          <w:rFonts w:ascii="Times New Roman" w:hAnsi="Times New Roman" w:cs="Times New Roman"/>
        </w:rPr>
      </w:pPr>
      <w:r w:rsidRPr="00E56186">
        <w:rPr>
          <w:rFonts w:ascii="Times New Roman" w:hAnsi="Times New Roman" w:cs="Times New Roman"/>
        </w:rPr>
        <w:t xml:space="preserve">16.3 - Registros que não caracterizam alteração do contrato podem ser realizados por simples apostila, dispensada a celebração de termo aditivo, na forma do art.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17 - CLÁUSULA DÉCIMA SÉTIMA - PUBLICAÇÃO</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17.1 - Incumbirá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w:t>
      </w:r>
      <w:r w:rsidRPr="00E56186">
        <w:rPr>
          <w:rFonts w:ascii="Times New Roman" w:hAnsi="Times New Roman" w:cs="Times New Roman"/>
          <w:b/>
        </w:rPr>
        <w:t xml:space="preserve">divulgar </w:t>
      </w:r>
      <w:r w:rsidRPr="00E56186">
        <w:rPr>
          <w:rFonts w:ascii="Times New Roman" w:hAnsi="Times New Roman" w:cs="Times New Roman"/>
        </w:rPr>
        <w:t xml:space="preserve">o presente instrumento no </w:t>
      </w:r>
      <w:r w:rsidRPr="00E56186">
        <w:rPr>
          <w:rFonts w:ascii="Times New Roman" w:hAnsi="Times New Roman" w:cs="Times New Roman"/>
          <w:b/>
        </w:rPr>
        <w:t>Portal Nacional de Contratações Públicas (PNCP)</w:t>
      </w:r>
      <w:r w:rsidRPr="00E56186">
        <w:rPr>
          <w:rFonts w:ascii="Times New Roman" w:hAnsi="Times New Roman" w:cs="Times New Roman"/>
        </w:rPr>
        <w:t xml:space="preserve">, na forma prevista no art. 94 da Lei 14.133, de 2021 bem como no respectivo sítio oficial na Internet, em atenção ao art. 8º, §2º, da Lei n. 12.527, de 2011.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18 - CLÁUSULA DÉCIMA OITAVA- FORO (art. 92, §1º</w:t>
      </w:r>
      <w:proofErr w:type="gramStart"/>
      <w:r w:rsidRPr="00E56186">
        <w:rPr>
          <w:rFonts w:ascii="Times New Roman" w:hAnsi="Times New Roman" w:cs="Times New Roman"/>
        </w:rPr>
        <w:t>)</w:t>
      </w:r>
      <w:proofErr w:type="gramEnd"/>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18.1 - Fica eleito o Foro da Comarca do município da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dirimir os litígios que decorrerem da execução deste Termo de Contrato que não puderem ser compostos pela conciliação, conforme art. 92, §1º, da Lei nº 14.133/21.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rsidR="00C452DA" w:rsidRPr="00E56186" w:rsidRDefault="00C452DA" w:rsidP="00BC1580">
      <w:pPr>
        <w:ind w:left="-5"/>
        <w:jc w:val="center"/>
        <w:rPr>
          <w:rFonts w:ascii="Times New Roman" w:hAnsi="Times New Roman" w:cs="Times New Roman"/>
        </w:rPr>
      </w:pPr>
      <w:bookmarkStart w:id="0" w:name="_GoBack"/>
      <w:bookmarkEnd w:id="0"/>
      <w:r w:rsidRPr="00BC1580">
        <w:rPr>
          <w:rFonts w:ascii="Times New Roman" w:hAnsi="Times New Roman" w:cs="Times New Roman"/>
        </w:rPr>
        <w:t>Janaúba-MG, 2</w:t>
      </w:r>
      <w:r w:rsidR="00BC1580" w:rsidRPr="00BC1580">
        <w:rPr>
          <w:rFonts w:ascii="Times New Roman" w:hAnsi="Times New Roman" w:cs="Times New Roman"/>
        </w:rPr>
        <w:t>6</w:t>
      </w:r>
      <w:r w:rsidRPr="00BC1580">
        <w:rPr>
          <w:rFonts w:ascii="Times New Roman" w:hAnsi="Times New Roman" w:cs="Times New Roman"/>
        </w:rPr>
        <w:t>/07/2024.</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_________________________________</w:t>
      </w:r>
      <w:proofErr w:type="gramStart"/>
      <w:r w:rsidRPr="00E56186">
        <w:rPr>
          <w:rFonts w:ascii="Times New Roman" w:hAnsi="Times New Roman" w:cs="Times New Roman"/>
        </w:rPr>
        <w:t xml:space="preserve">  </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proofErr w:type="spellStart"/>
      <w:proofErr w:type="gramEnd"/>
      <w:r w:rsidRPr="00E56186">
        <w:rPr>
          <w:rFonts w:ascii="Times New Roman" w:eastAsia="Times New Roman" w:hAnsi="Times New Roman" w:cs="Times New Roman"/>
        </w:rPr>
        <w:t>Neurisvaldo</w:t>
      </w:r>
      <w:proofErr w:type="spellEnd"/>
      <w:r w:rsidRPr="00E56186">
        <w:rPr>
          <w:rFonts w:ascii="Times New Roman" w:eastAsia="Times New Roman" w:hAnsi="Times New Roman" w:cs="Times New Roman"/>
        </w:rPr>
        <w:t xml:space="preserve"> Teixeira dos Santos</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r w:rsidRPr="00E56186">
        <w:rPr>
          <w:rFonts w:ascii="Times New Roman" w:eastAsia="Times New Roman" w:hAnsi="Times New Roman" w:cs="Times New Roman"/>
        </w:rPr>
        <w:t>Diretor Geral Fundação Hospitalar de Janaúba</w:t>
      </w:r>
    </w:p>
    <w:p w:rsidR="00C452DA" w:rsidRPr="00E56186" w:rsidRDefault="00C452DA" w:rsidP="00F23D83">
      <w:pPr>
        <w:spacing w:after="256" w:line="259" w:lineRule="auto"/>
        <w:ind w:left="74"/>
        <w:rPr>
          <w:rFonts w:ascii="Times New Roman" w:hAnsi="Times New Roman" w:cs="Times New Roman"/>
        </w:rPr>
      </w:pP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3" w:line="259" w:lineRule="auto"/>
        <w:ind w:left="1863" w:right="1779"/>
        <w:jc w:val="center"/>
        <w:rPr>
          <w:rFonts w:ascii="Times New Roman" w:hAnsi="Times New Roman" w:cs="Times New Roman"/>
        </w:rPr>
      </w:pPr>
      <w:r w:rsidRPr="00E56186">
        <w:rPr>
          <w:rFonts w:ascii="Times New Roman" w:hAnsi="Times New Roman" w:cs="Times New Roman"/>
        </w:rPr>
        <w:t xml:space="preserve">_________________________________ </w:t>
      </w:r>
    </w:p>
    <w:p w:rsidR="00C452DA" w:rsidRPr="00E56186" w:rsidRDefault="0090191E" w:rsidP="00C452DA">
      <w:pPr>
        <w:spacing w:after="43" w:line="259" w:lineRule="auto"/>
        <w:ind w:left="1863" w:right="1779"/>
        <w:jc w:val="center"/>
        <w:rPr>
          <w:rFonts w:ascii="Times New Roman" w:hAnsi="Times New Roman" w:cs="Times New Roman"/>
        </w:rPr>
      </w:pPr>
      <w:proofErr w:type="spellStart"/>
      <w:r w:rsidRPr="0090191E">
        <w:rPr>
          <w:rFonts w:ascii="Times New Roman" w:hAnsi="Times New Roman" w:cs="Times New Roman"/>
        </w:rPr>
        <w:t>Thaila</w:t>
      </w:r>
      <w:proofErr w:type="spellEnd"/>
      <w:r w:rsidRPr="0090191E">
        <w:rPr>
          <w:rFonts w:ascii="Times New Roman" w:hAnsi="Times New Roman" w:cs="Times New Roman"/>
        </w:rPr>
        <w:t xml:space="preserve"> </w:t>
      </w:r>
      <w:proofErr w:type="spellStart"/>
      <w:r w:rsidRPr="0090191E">
        <w:rPr>
          <w:rFonts w:ascii="Times New Roman" w:hAnsi="Times New Roman" w:cs="Times New Roman"/>
        </w:rPr>
        <w:t>Saiana</w:t>
      </w:r>
      <w:proofErr w:type="spellEnd"/>
      <w:r w:rsidRPr="0090191E">
        <w:rPr>
          <w:rFonts w:ascii="Times New Roman" w:hAnsi="Times New Roman" w:cs="Times New Roman"/>
        </w:rPr>
        <w:t xml:space="preserve"> Andreatta da Silva</w:t>
      </w:r>
    </w:p>
    <w:p w:rsidR="00C452DA" w:rsidRPr="00E56186" w:rsidRDefault="0090191E" w:rsidP="00C452DA">
      <w:pPr>
        <w:spacing w:after="254" w:line="259" w:lineRule="auto"/>
        <w:ind w:left="1269" w:right="1262"/>
        <w:jc w:val="center"/>
        <w:rPr>
          <w:rFonts w:ascii="Times New Roman" w:hAnsi="Times New Roman" w:cs="Times New Roman"/>
        </w:rPr>
      </w:pPr>
      <w:r w:rsidRPr="0090191E">
        <w:rPr>
          <w:rFonts w:ascii="Times New Roman" w:hAnsi="Times New Roman" w:cs="Times New Roman"/>
        </w:rPr>
        <w:t>T L Soluções Tecnológicas LTDA</w:t>
      </w:r>
      <w:r w:rsidR="00C452DA" w:rsidRPr="00E56186">
        <w:rPr>
          <w:rFonts w:ascii="Times New Roman" w:hAnsi="Times New Roman" w:cs="Times New Roman"/>
        </w:rPr>
        <w:t xml:space="preserve"> </w:t>
      </w:r>
    </w:p>
    <w:p w:rsidR="00877884" w:rsidRPr="00E56186" w:rsidRDefault="00877884" w:rsidP="00877884">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pStyle w:val="Ttulo1"/>
        <w:spacing w:after="255"/>
        <w:ind w:right="6"/>
        <w:jc w:val="center"/>
        <w:rPr>
          <w:rFonts w:ascii="Times New Roman" w:hAnsi="Times New Roman" w:cs="Times New Roman"/>
        </w:rPr>
      </w:pPr>
      <w:r w:rsidRPr="00E56186">
        <w:rPr>
          <w:rFonts w:ascii="Times New Roman" w:hAnsi="Times New Roman" w:cs="Times New Roman"/>
        </w:rPr>
        <w:lastRenderedPageBreak/>
        <w:t>TESTEMUNHAS</w:t>
      </w:r>
      <w:r w:rsidRPr="00E56186">
        <w:rPr>
          <w:rFonts w:ascii="Times New Roman" w:hAnsi="Times New Roman" w:cs="Times New Roman"/>
          <w:b w:val="0"/>
        </w:rPr>
        <w:t xml:space="preserve"> </w:t>
      </w:r>
    </w:p>
    <w:p w:rsidR="00877884" w:rsidRPr="00E56186" w:rsidRDefault="00877884" w:rsidP="00877884">
      <w:pPr>
        <w:spacing w:after="254"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ind w:left="-5"/>
        <w:rPr>
          <w:rFonts w:ascii="Times New Roman" w:hAnsi="Times New Roman" w:cs="Times New Roman"/>
        </w:rPr>
      </w:pPr>
      <w:proofErr w:type="gramStart"/>
      <w:r w:rsidRPr="00E56186">
        <w:rPr>
          <w:rFonts w:ascii="Times New Roman" w:hAnsi="Times New Roman" w:cs="Times New Roman"/>
          <w:b/>
        </w:rPr>
        <w:t>1</w:t>
      </w:r>
      <w:proofErr w:type="gramEnd"/>
      <w:r w:rsidRPr="00E56186">
        <w:rPr>
          <w:rFonts w:ascii="Times New Roman" w:hAnsi="Times New Roman" w:cs="Times New Roman"/>
          <w:b/>
        </w:rPr>
        <w:t>) Ass.:</w:t>
      </w:r>
      <w:r w:rsidRPr="00E56186">
        <w:rPr>
          <w:rFonts w:ascii="Times New Roman" w:hAnsi="Times New Roman" w:cs="Times New Roman"/>
        </w:rPr>
        <w:t xml:space="preserve">_____________________________    </w:t>
      </w:r>
      <w:r w:rsidRPr="00E56186">
        <w:rPr>
          <w:rFonts w:ascii="Times New Roman" w:hAnsi="Times New Roman" w:cs="Times New Roman"/>
          <w:b/>
        </w:rPr>
        <w:t>2) Ass.:</w:t>
      </w:r>
      <w:r w:rsidRPr="00E56186">
        <w:rPr>
          <w:rFonts w:ascii="Times New Roman" w:hAnsi="Times New Roman" w:cs="Times New Roman"/>
        </w:rPr>
        <w:t xml:space="preserve">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Nome:</w:t>
      </w:r>
      <w:r w:rsidRPr="00E56186">
        <w:rPr>
          <w:rFonts w:ascii="Times New Roman" w:hAnsi="Times New Roman" w:cs="Times New Roman"/>
        </w:rPr>
        <w:t xml:space="preserve">______________________________     </w:t>
      </w:r>
      <w:r w:rsidRPr="00E56186">
        <w:rPr>
          <w:rFonts w:ascii="Times New Roman" w:hAnsi="Times New Roman" w:cs="Times New Roman"/>
          <w:b/>
        </w:rPr>
        <w:t>Nome:</w:t>
      </w:r>
      <w:r w:rsidRPr="00E56186">
        <w:rPr>
          <w:rFonts w:ascii="Times New Roman" w:hAnsi="Times New Roman" w:cs="Times New Roman"/>
        </w:rPr>
        <w:t xml:space="preserve">______________________________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CPF:</w:t>
      </w:r>
      <w:r w:rsidRPr="00E56186">
        <w:rPr>
          <w:rFonts w:ascii="Times New Roman" w:hAnsi="Times New Roman" w:cs="Times New Roman"/>
        </w:rPr>
        <w:t xml:space="preserve">________________________________     </w:t>
      </w:r>
      <w:r w:rsidRPr="00E56186">
        <w:rPr>
          <w:rFonts w:ascii="Times New Roman" w:hAnsi="Times New Roman" w:cs="Times New Roman"/>
          <w:b/>
        </w:rPr>
        <w:t>CPF:</w:t>
      </w:r>
      <w:r w:rsidRPr="00E56186">
        <w:rPr>
          <w:rFonts w:ascii="Times New Roman" w:hAnsi="Times New Roman" w:cs="Times New Roman"/>
        </w:rPr>
        <w:t>________________________________</w:t>
      </w:r>
      <w:proofErr w:type="gramStart"/>
      <w:r w:rsidRPr="00E56186">
        <w:rPr>
          <w:rFonts w:ascii="Times New Roman" w:hAnsi="Times New Roman" w:cs="Times New Roman"/>
        </w:rPr>
        <w:t xml:space="preserve">  </w:t>
      </w:r>
    </w:p>
    <w:p w:rsidR="005701B7" w:rsidRPr="00E56186" w:rsidRDefault="005701B7">
      <w:pPr>
        <w:rPr>
          <w:rFonts w:ascii="Times New Roman" w:hAnsi="Times New Roman" w:cs="Times New Roman"/>
        </w:rPr>
      </w:pPr>
      <w:proofErr w:type="gramEnd"/>
    </w:p>
    <w:sectPr w:rsidR="005701B7" w:rsidRPr="00E56186">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D18" w:rsidRDefault="00AD6D18" w:rsidP="00877884">
      <w:pPr>
        <w:spacing w:after="0" w:line="240" w:lineRule="auto"/>
      </w:pPr>
      <w:r>
        <w:separator/>
      </w:r>
    </w:p>
  </w:endnote>
  <w:endnote w:type="continuationSeparator" w:id="0">
    <w:p w:rsidR="00AD6D18" w:rsidRDefault="00AD6D18" w:rsidP="0087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D18" w:rsidRDefault="00AD6D18" w:rsidP="00877884">
      <w:pPr>
        <w:spacing w:after="0" w:line="240" w:lineRule="auto"/>
      </w:pPr>
      <w:r>
        <w:separator/>
      </w:r>
    </w:p>
  </w:footnote>
  <w:footnote w:type="continuationSeparator" w:id="0">
    <w:p w:rsidR="00AD6D18" w:rsidRDefault="00AD6D18" w:rsidP="00877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84" w:rsidRDefault="00877884" w:rsidP="00877884">
    <w:pPr>
      <w:pStyle w:val="Cabealho"/>
      <w:jc w:val="center"/>
    </w:pPr>
    <w:r>
      <w:rPr>
        <w:noProof/>
        <w:lang w:eastAsia="pt-BR"/>
      </w:rPr>
      <w:drawing>
        <wp:inline distT="0" distB="0" distL="0" distR="0" wp14:anchorId="2CD8DE68" wp14:editId="16D8F7F4">
          <wp:extent cx="5400040" cy="564611"/>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646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364D"/>
    <w:multiLevelType w:val="hybridMultilevel"/>
    <w:tmpl w:val="DDB87986"/>
    <w:lvl w:ilvl="0" w:tplc="7C426022">
      <w:start w:val="1"/>
      <w:numFmt w:val="decimal"/>
      <w:lvlText w:val="%1)"/>
      <w:lvlJc w:val="left"/>
      <w:pPr>
        <w:ind w:left="3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5E901968">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2E7C9016">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08F87A16">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2141584">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DC228D34">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402CE84">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123E3252">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E70AF396">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nsid w:val="4F5F404A"/>
    <w:multiLevelType w:val="multilevel"/>
    <w:tmpl w:val="487AFD7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6"/>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2">
    <w:nsid w:val="57687158"/>
    <w:multiLevelType w:val="hybridMultilevel"/>
    <w:tmpl w:val="28EEAE64"/>
    <w:lvl w:ilvl="0" w:tplc="D12C45F8">
      <w:start w:val="1"/>
      <w:numFmt w:val="lowerLetter"/>
      <w:lvlText w:val="%1)"/>
      <w:lvlJc w:val="left"/>
      <w:pPr>
        <w:ind w:left="1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CD00674">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F926AAD2">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B566B6FC">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757A3810">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37CC0F86">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E0DD3A">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79202E56">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1D6E726A">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3">
    <w:nsid w:val="670D2F89"/>
    <w:multiLevelType w:val="multilevel"/>
    <w:tmpl w:val="C3DA1088"/>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4">
    <w:nsid w:val="6E7C5101"/>
    <w:multiLevelType w:val="hybridMultilevel"/>
    <w:tmpl w:val="A540336C"/>
    <w:lvl w:ilvl="0" w:tplc="3942F2F2">
      <w:start w:val="4"/>
      <w:numFmt w:val="decimal"/>
      <w:lvlText w:val="%1"/>
      <w:lvlJc w:val="left"/>
      <w:pPr>
        <w:ind w:left="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1" w:tplc="CFE06ED8">
      <w:start w:val="1"/>
      <w:numFmt w:val="lowerLetter"/>
      <w:lvlText w:val="%2"/>
      <w:lvlJc w:val="left"/>
      <w:pPr>
        <w:ind w:left="10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2" w:tplc="F64683D0">
      <w:start w:val="1"/>
      <w:numFmt w:val="lowerRoman"/>
      <w:lvlText w:val="%3"/>
      <w:lvlJc w:val="left"/>
      <w:pPr>
        <w:ind w:left="18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3" w:tplc="4CB6473E">
      <w:start w:val="1"/>
      <w:numFmt w:val="decimal"/>
      <w:lvlText w:val="%4"/>
      <w:lvlJc w:val="left"/>
      <w:pPr>
        <w:ind w:left="25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4" w:tplc="759EA022">
      <w:start w:val="1"/>
      <w:numFmt w:val="lowerLetter"/>
      <w:lvlText w:val="%5"/>
      <w:lvlJc w:val="left"/>
      <w:pPr>
        <w:ind w:left="3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5" w:tplc="BEBCAE2C">
      <w:start w:val="1"/>
      <w:numFmt w:val="lowerRoman"/>
      <w:lvlText w:val="%6"/>
      <w:lvlJc w:val="left"/>
      <w:pPr>
        <w:ind w:left="396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6" w:tplc="7480B63C">
      <w:start w:val="1"/>
      <w:numFmt w:val="decimal"/>
      <w:lvlText w:val="%7"/>
      <w:lvlJc w:val="left"/>
      <w:pPr>
        <w:ind w:left="46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7" w:tplc="8AA43278">
      <w:start w:val="1"/>
      <w:numFmt w:val="lowerLetter"/>
      <w:lvlText w:val="%8"/>
      <w:lvlJc w:val="left"/>
      <w:pPr>
        <w:ind w:left="54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8" w:tplc="77CE7EE0">
      <w:start w:val="1"/>
      <w:numFmt w:val="lowerRoman"/>
      <w:lvlText w:val="%9"/>
      <w:lvlJc w:val="left"/>
      <w:pPr>
        <w:ind w:left="61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84"/>
    <w:rsid w:val="00090BB1"/>
    <w:rsid w:val="00131565"/>
    <w:rsid w:val="0018744F"/>
    <w:rsid w:val="002345C9"/>
    <w:rsid w:val="00507190"/>
    <w:rsid w:val="005701B7"/>
    <w:rsid w:val="006E6E32"/>
    <w:rsid w:val="0071245E"/>
    <w:rsid w:val="00877884"/>
    <w:rsid w:val="008F6E83"/>
    <w:rsid w:val="0090191E"/>
    <w:rsid w:val="00AA4F2E"/>
    <w:rsid w:val="00AD6D18"/>
    <w:rsid w:val="00BC1580"/>
    <w:rsid w:val="00BD70DA"/>
    <w:rsid w:val="00BE2F76"/>
    <w:rsid w:val="00BF161B"/>
    <w:rsid w:val="00C452DA"/>
    <w:rsid w:val="00CB73FD"/>
    <w:rsid w:val="00D03F58"/>
    <w:rsid w:val="00DA7C34"/>
    <w:rsid w:val="00DD5C7A"/>
    <w:rsid w:val="00DF6CCD"/>
    <w:rsid w:val="00E56186"/>
    <w:rsid w:val="00E64173"/>
    <w:rsid w:val="00E71E46"/>
    <w:rsid w:val="00EA17B4"/>
    <w:rsid w:val="00EB0E1E"/>
    <w:rsid w:val="00EF6DCC"/>
    <w:rsid w:val="00F23D83"/>
    <w:rsid w:val="00FB3C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0"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s://www.planalto.gov.br/ccivil_03/leis/l8078compilado.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82769-44A6-4777-A76E-D6FB58F4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2640</Words>
  <Characters>14262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Orçamentos</dc:creator>
  <cp:lastModifiedBy>Orçamentos</cp:lastModifiedBy>
  <cp:revision>16</cp:revision>
  <dcterms:created xsi:type="dcterms:W3CDTF">2024-07-15T19:34:00Z</dcterms:created>
  <dcterms:modified xsi:type="dcterms:W3CDTF">2024-07-29T10:51:00Z</dcterms:modified>
</cp:coreProperties>
</file>